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Strategiememorandum</w:t>
      </w:r>
    </w:p>
    <w:p>
      <w:pPr>
        <w:jc w:val="left"/>
      </w:pPr>
      <w:r>
        <w:rPr>
          <w:b/>
        </w:rPr>
        <w:t>Kanzlei Hauck-Brüggemann Mietrecht – INTERN / VERTRAULICH</w:t>
      </w:r>
    </w:p>
    <w:p>
      <w:pPr>
        <w:jc w:val="left"/>
      </w:pPr>
      <w:r>
        <w:t xml:space="preserve">Köln, </w:t>
      </w:r>
      <w:r>
        <w:rPr>
          <w:b/>
        </w:rPr>
        <w:t>12. Mai 2026</w:t>
      </w:r>
    </w:p>
    <w:p>
      <w:pPr>
        <w:jc w:val="left"/>
      </w:pPr>
      <w:r>
        <w:t>Verfasserin: RA'in Vanessa Hauck-Brüggemann</w:t>
      </w:r>
    </w:p>
    <w:p/>
    <w:p>
      <w:pPr>
        <w:pStyle w:val="Heading2"/>
      </w:pPr>
      <w:r>
        <w:rPr>
          <w:rFonts w:ascii="Times New Roman" w:hAnsi="Times New Roman"/>
        </w:rPr>
        <w:t>Gesamtlage und strategische Einordnung</w:t>
      </w:r>
    </w:p>
    <w:p>
      <w:pPr>
        <w:jc w:val="left"/>
      </w:pPr>
      <w:r>
        <w:t>Das Mandat Straßburger / Straßburger-Möhren umfasst drei gleichzeitig laufende, miteinander verknüpfte Rechtskomplexe:</w:t>
      </w:r>
    </w:p>
    <w:p>
      <w:pPr>
        <w:pStyle w:val="ListNumber"/>
      </w:pPr>
      <w:r>
        <w:rPr>
          <w:b/>
        </w:rPr>
        <w:t>Eigenbedarfskündigung + Räumungsklage</w:t>
      </w:r>
      <w:r>
        <w:t xml:space="preserve"> (Mietrecht, § 573 BGB)</w:t>
      </w:r>
    </w:p>
    <w:p>
      <w:pPr>
        <w:pStyle w:val="ListNumber"/>
      </w:pPr>
      <w:r>
        <w:rPr>
          <w:b/>
        </w:rPr>
        <w:t>WEG-Beschlussanfechtung</w:t>
      </w:r>
      <w:r>
        <w:t xml:space="preserve"> (WEG-Recht, § 44 WEG)</w:t>
      </w:r>
    </w:p>
    <w:p>
      <w:pPr>
        <w:pStyle w:val="ListNumber"/>
      </w:pPr>
      <w:r>
        <w:rPr>
          <w:b/>
        </w:rPr>
        <w:t>Mietminderung Schimmel</w:t>
      </w:r>
      <w:r>
        <w:t xml:space="preserve"> (Mietrecht, § 536 BGB)</w:t>
      </w:r>
    </w:p>
    <w:p>
      <w:pPr>
        <w:jc w:val="left"/>
      </w:pPr>
      <w:r>
        <w:t>Hinzu kommen Hintergrundfragen zur Heizungsumstellung (GEG) und einem Schlichtungsversuch des Mietervereins. Das Memo analysiert die Stärken und Schwächen jedes Komplexes und entwickelt eine integrierte Strategie.</w:t>
      </w:r>
    </w:p>
    <w:p/>
    <w:p>
      <w:pPr>
        <w:pStyle w:val="Heading2"/>
      </w:pPr>
      <w:r>
        <w:rPr>
          <w:rFonts w:ascii="Times New Roman" w:hAnsi="Times New Roman"/>
        </w:rPr>
        <w:t>I. Eigenbedarfskündigung / Räumungsklage</w:t>
      </w:r>
    </w:p>
    <w:p>
      <w:pPr>
        <w:pStyle w:val="Heading3"/>
      </w:pPr>
      <w:r>
        <w:rPr>
          <w:rFonts w:ascii="Times New Roman" w:hAnsi="Times New Roman"/>
        </w:rPr>
        <w:t>Stärken</w:t>
      </w:r>
    </w:p>
    <w:p>
      <w:pPr>
        <w:pStyle w:val="ListBullet"/>
      </w:pPr>
      <w:r>
        <w:t>Einstellungsbescheid Referendariat liegt vor (konkretisierter Bedarf)</w:t>
      </w:r>
    </w:p>
    <w:p>
      <w:pPr>
        <w:pStyle w:val="ListBullet"/>
      </w:pPr>
      <w:r>
        <w:t>Keine Alternativwohnung vorhanden (eidesstattl. Versicherung)</w:t>
      </w:r>
    </w:p>
    <w:p>
      <w:pPr>
        <w:pStyle w:val="ListBullet"/>
      </w:pPr>
      <w:r>
        <w:t>Theresa Straßburger-Möhren: klarer Wohnbedarf in Köln, keine eigene Wohnung</w:t>
      </w:r>
    </w:p>
    <w:p>
      <w:pPr>
        <w:pStyle w:val="ListBullet"/>
      </w:pPr>
      <w:r>
        <w:t>Kündigung fristgerecht und formal ordnungsgemäß</w:t>
      </w:r>
    </w:p>
    <w:p>
      <w:pPr>
        <w:pStyle w:val="Heading3"/>
      </w:pPr>
      <w:r>
        <w:rPr>
          <w:rFonts w:ascii="Times New Roman" w:hAnsi="Times New Roman"/>
        </w:rPr>
        <w:t>Schwächen / Risiken</w:t>
      </w:r>
    </w:p>
    <w:p>
      <w:pPr>
        <w:pStyle w:val="ListBullet"/>
      </w:pPr>
      <w:r>
        <w:t>Widerspruch Albrecht: Vikariat bis 31.07.2028, Ortsgebundenheit gut belegt; Gericht könnte Schonfrist bis Vikariatsende gewähren</w:t>
      </w:r>
    </w:p>
    <w:p>
      <w:pPr>
        <w:pStyle w:val="ListBullet"/>
      </w:pPr>
      <w:r>
        <w:t>Wohnungsmangel Köln: allgemeiner Härtezusatz für das Gericht</w:t>
      </w:r>
    </w:p>
    <w:p>
      <w:pPr>
        <w:pStyle w:val="ListBullet"/>
      </w:pPr>
      <w:r>
        <w:t>Schimmelproblematik läuft parallel: Beklagte könnten einwenden, dass Wohnung mangelhaft → Eigenbedarfskündigung im laufenden Mängelrecht könnte als druckorientiert erscheinen (vgl. BGH VIII ZR 235/12)</w:t>
      </w:r>
    </w:p>
    <w:p>
      <w:pPr>
        <w:pStyle w:val="Heading3"/>
      </w:pPr>
      <w:r>
        <w:rPr>
          <w:rFonts w:ascii="Times New Roman" w:hAnsi="Times New Roman"/>
        </w:rPr>
        <w:t>Strategie Eigenbedarfskündigung</w:t>
      </w:r>
    </w:p>
    <w:p>
      <w:pPr>
        <w:pStyle w:val="ListNumber"/>
      </w:pPr>
      <w:r>
        <w:rPr>
          <w:b/>
        </w:rPr>
        <w:t>Räumungsklage sofort einreichen</w:t>
      </w:r>
      <w:r>
        <w:t xml:space="preserve"> (Mai 2026): Verfahrensdauer AG Köln i.d.R. 12–18 Monate → Urteil ggf. Ende 2027. Bei positiver Entscheidung: Räumungstitel noch vor Ende Vikariat.</w:t>
      </w:r>
    </w:p>
    <w:p>
      <w:pPr>
        <w:pStyle w:val="ListNumber"/>
      </w:pPr>
      <w:r>
        <w:rPr>
          <w:b/>
        </w:rPr>
        <w:t>Mangel Schimmel vorrangig beseitigen</w:t>
      </w:r>
      <w:r>
        <w:t>: Vor Einreichung der Räumungsklage Sanierungsstart sicherstellen → reduziert Angriffsfläche der Mieter.</w:t>
      </w:r>
    </w:p>
    <w:p>
      <w:pPr>
        <w:pStyle w:val="ListNumber"/>
      </w:pPr>
      <w:r>
        <w:rPr>
          <w:b/>
        </w:rPr>
        <w:t>Einigungsbereitschaft signalisieren</w:t>
      </w:r>
      <w:r>
        <w:t xml:space="preserve"> (taktisch): Schriftlich anbieten, Räumung bis 31.03.2027 (statt 31.10.2026) hinzunehmen gegen Aufgabe der Minderung und Zahlung aller Rückstände. Freitextangebot, aber bindend nur bei schriftlicher Annahme.</w:t>
      </w:r>
    </w:p>
    <w:p/>
    <w:p>
      <w:pPr>
        <w:pStyle w:val="Heading2"/>
      </w:pPr>
      <w:r>
        <w:rPr>
          <w:rFonts w:ascii="Times New Roman" w:hAnsi="Times New Roman"/>
        </w:rPr>
        <w:t>II. WEG-Beschlussanfechtung Treppenhaussanierung</w:t>
      </w:r>
    </w:p>
    <w:p>
      <w:pPr>
        <w:pStyle w:val="Heading3"/>
      </w:pPr>
      <w:r>
        <w:rPr>
          <w:rFonts w:ascii="Times New Roman" w:hAnsi="Times New Roman"/>
        </w:rPr>
        <w:t>Stärken</w:t>
      </w:r>
    </w:p>
    <w:p>
      <w:pPr>
        <w:pStyle w:val="ListBullet"/>
      </w:pPr>
      <w:r>
        <w:t>Sonderumlage 142.000 EUR bei Auftragswert 54.103 EUR (Kern &amp; Partner brutto) = 162 % Aufschlag → eklatantes Missverhältnis</w:t>
      </w:r>
    </w:p>
    <w:p>
      <w:pPr>
        <w:pStyle w:val="ListBullet"/>
      </w:pPr>
      <w:r>
        <w:t>Gutachten Möhren+Partner: Sanierungsbedarf objektiv nur 28.000–35.000 EUR</w:t>
      </w:r>
    </w:p>
    <w:p>
      <w:pPr>
        <w:pStyle w:val="ListBullet"/>
      </w:pPr>
      <w:r>
        <w:t>BGH-Rechtsprechung zu ordnungsgemäßer Verwaltung (BGH V ZR 9/14, V ZR 129/11) stützt die Klage</w:t>
      </w:r>
    </w:p>
    <w:p>
      <w:pPr>
        <w:pStyle w:val="ListBullet"/>
      </w:pPr>
      <w:r>
        <w:t>Formgerechter Widerspruch zu Protokoll + Anfechtungsklage fristgerecht</w:t>
      </w:r>
    </w:p>
    <w:p>
      <w:pPr>
        <w:pStyle w:val="Heading3"/>
      </w:pPr>
      <w:r>
        <w:rPr>
          <w:rFonts w:ascii="Times New Roman" w:hAnsi="Times New Roman"/>
        </w:rPr>
        <w:t>Schwächen / Risiken</w:t>
      </w:r>
    </w:p>
    <w:p>
      <w:pPr>
        <w:pStyle w:val="ListBullet"/>
      </w:pPr>
      <w:r>
        <w:t>Mehrheitsbeschluss 5:1 wirkt demokratisch legitimiert</w:t>
      </w:r>
    </w:p>
    <w:p>
      <w:pPr>
        <w:pStyle w:val="ListBullet"/>
      </w:pPr>
      <w:r>
        <w:t>Gericht ist in WEG-Sachen zurückhaltend mit Wirtschaftlichkeitsprüfung (Ermessen der Mehrheit)</w:t>
      </w:r>
    </w:p>
    <w:p>
      <w:pPr>
        <w:pStyle w:val="ListBullet"/>
      </w:pPr>
      <w:r>
        <w:t>Kompromiss wahrscheinlicher als vollständige Aufhebung</w:t>
      </w:r>
    </w:p>
    <w:p>
      <w:pPr>
        <w:pStyle w:val="Heading3"/>
      </w:pPr>
      <w:r>
        <w:rPr>
          <w:rFonts w:ascii="Times New Roman" w:hAnsi="Times New Roman"/>
        </w:rPr>
        <w:t>Strategie WEG-Anfechtung</w:t>
      </w:r>
    </w:p>
    <w:p>
      <w:pPr>
        <w:pStyle w:val="ListNumber"/>
      </w:pPr>
      <w:r>
        <w:rPr>
          <w:b/>
        </w:rPr>
        <w:t>Gerichtlichen Sachverständigen beantragen</w:t>
      </w:r>
      <w:r>
        <w:t>: Nur ein neutrale SV-Bewertung wird die 5:1-Mehrheit entkräften.</w:t>
      </w:r>
    </w:p>
    <w:p>
      <w:pPr>
        <w:pStyle w:val="ListNumber"/>
      </w:pPr>
      <w:r>
        <w:rPr>
          <w:b/>
        </w:rPr>
        <w:t>Alternativantrag stark betonen</w:t>
      </w:r>
      <w:r>
        <w:t>: Hilfsweise Reduzierung der Sonderumlage auf 70.000–80.000 EUR (angemessener Puffer). Damit ist realistischer Kompromiss möglich.</w:t>
      </w:r>
    </w:p>
    <w:p>
      <w:pPr>
        <w:pStyle w:val="ListNumber"/>
      </w:pPr>
      <w:r>
        <w:rPr>
          <w:b/>
        </w:rPr>
        <w:t>Vergleichsgespräch vorschlagen</w:t>
      </w:r>
      <w:r>
        <w:t>: Nach Einreichung der Klage, aber vor der mündlichen Verhandlung, Vergleich anbieten: Sonderumlage wird auf 90.000 EUR begrenzt → Einsparung Straßburger: 7.280 EUR (140/1000 × (142.000–90.000)).</w:t>
      </w:r>
    </w:p>
    <w:p/>
    <w:p>
      <w:pPr>
        <w:pStyle w:val="Heading2"/>
      </w:pPr>
      <w:r>
        <w:rPr>
          <w:rFonts w:ascii="Times New Roman" w:hAnsi="Times New Roman"/>
        </w:rPr>
        <w:t>III. Mietminderung Schimmel</w:t>
      </w:r>
    </w:p>
    <w:p>
      <w:pPr>
        <w:pStyle w:val="Heading3"/>
      </w:pPr>
      <w:r>
        <w:rPr>
          <w:rFonts w:ascii="Times New Roman" w:hAnsi="Times New Roman"/>
        </w:rPr>
        <w:t>Stärken</w:t>
      </w:r>
    </w:p>
    <w:p>
      <w:pPr>
        <w:pStyle w:val="ListBullet"/>
      </w:pPr>
      <w:r>
        <w:t>Sachverständiger Wallesch selbst attestiert: Minderung 10–15 % angemessen (nicht 30 %)</w:t>
      </w:r>
    </w:p>
    <w:p>
      <w:pPr>
        <w:pStyle w:val="ListBullet"/>
      </w:pPr>
      <w:r>
        <w:t>Mangelbeseitigung durch Mandanten eingeleitet</w:t>
      </w:r>
    </w:p>
    <w:p>
      <w:pPr>
        <w:pStyle w:val="ListBullet"/>
      </w:pPr>
      <w:r>
        <w:t>Mahnschreiben 20.03.2026 liegt vor</w:t>
      </w:r>
    </w:p>
    <w:p>
      <w:pPr>
        <w:pStyle w:val="Heading3"/>
      </w:pPr>
      <w:r>
        <w:rPr>
          <w:rFonts w:ascii="Times New Roman" w:hAnsi="Times New Roman"/>
        </w:rPr>
        <w:t>Schwächen / Risiken</w:t>
      </w:r>
    </w:p>
    <w:p>
      <w:pPr>
        <w:pStyle w:val="ListBullet"/>
      </w:pPr>
      <w:r>
        <w:t>Solange Mangel nicht beseitigt: Mieter dürfen mindern</w:t>
      </w:r>
    </w:p>
    <w:p>
      <w:pPr>
        <w:pStyle w:val="ListBullet"/>
      </w:pPr>
      <w:r>
        <w:t>Höhe der Berechtigung ist streitig (10 % vs. 30 %)</w:t>
      </w:r>
    </w:p>
    <w:p>
      <w:pPr>
        <w:pStyle w:val="ListBullet"/>
      </w:pPr>
      <w:r>
        <w:t>Kündigung wegen Zahlungsverzugs (§ 543 Abs. 2 Nr. 3) nicht möglich, solange Minderungsbetrag unter 2 Monatsnettomieten bleibt</w:t>
      </w:r>
    </w:p>
    <w:p>
      <w:pPr>
        <w:pStyle w:val="Heading3"/>
      </w:pPr>
      <w:r>
        <w:rPr>
          <w:rFonts w:ascii="Times New Roman" w:hAnsi="Times New Roman"/>
        </w:rPr>
        <w:t>Strategie Mietminderung</w:t>
      </w:r>
    </w:p>
    <w:p>
      <w:pPr>
        <w:pStyle w:val="ListNumber"/>
      </w:pPr>
      <w:r>
        <w:rPr>
          <w:b/>
        </w:rPr>
        <w:t>Mangel sofort beseitigen</w:t>
      </w:r>
      <w:r>
        <w:t xml:space="preserve"> (Priorität 1): Ohne Mangelbeseitigung kein Ende der Mietminderung.</w:t>
      </w:r>
    </w:p>
    <w:p>
      <w:pPr>
        <w:pStyle w:val="ListNumber"/>
      </w:pPr>
      <w:r>
        <w:rPr>
          <w:b/>
        </w:rPr>
        <w:t>Zahlungsklage parallel</w:t>
      </w:r>
      <w:r>
        <w:t>: Einbeziehung der Rückstandsforderung (1.966,80 EUR) in die Räumungsklage.</w:t>
      </w:r>
    </w:p>
    <w:p>
      <w:pPr>
        <w:pStyle w:val="ListNumber"/>
      </w:pPr>
      <w:r>
        <w:rPr>
          <w:b/>
        </w:rPr>
        <w:t>Keine außerordentliche Kündigung</w:t>
      </w:r>
      <w:r>
        <w:t xml:space="preserve"> (noch nicht): Betrag unterschreitet 2-Monats-Mieten-Schwelle.</w:t>
      </w:r>
    </w:p>
    <w:p/>
    <w:p>
      <w:pPr>
        <w:pStyle w:val="Heading2"/>
      </w:pPr>
      <w:r>
        <w:rPr>
          <w:rFonts w:ascii="Times New Roman" w:hAnsi="Times New Roman"/>
        </w:rPr>
        <w:t>IV. Gesamtrisikobewertung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Komplex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Erfolgswahrscheinlichkeit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Kostenschätzung (RVG)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Räumungsklage + Eigenbedarf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55–65 % (mit Schonfrist-Risiko)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2.400–3.200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WEG-Anfechtung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40–55 % (Kompromiss wahrscheinlich)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1.800–2.400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Zahlungsklage Mietrückstand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75–85 %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inkl. in Räumungsklage</w:t>
            </w:r>
          </w:p>
        </w:tc>
      </w:tr>
    </w:tbl>
    <w:p>
      <w:pPr>
        <w:jc w:val="left"/>
      </w:pPr>
      <w:r>
        <w:rPr>
          <w:b/>
        </w:rPr>
        <w:t>Gesamtrisiko:</w:t>
      </w:r>
      <w:r>
        <w:t xml:space="preserve"> Die Mandanten tragen aktuell erhebliche finanzielle Lasten:</w:t>
      </w:r>
    </w:p>
    <w:p>
      <w:pPr>
        <w:pStyle w:val="ListBullet"/>
      </w:pPr>
      <w:r>
        <w:t>Sonderumlage Rate 1: 9.940 EUR fällig 01.06.2026</w:t>
      </w:r>
    </w:p>
    <w:p>
      <w:pPr>
        <w:pStyle w:val="ListBullet"/>
      </w:pPr>
      <w:r>
        <w:t>Schimmelsanierung: ca. 12.000–18.000 EUR (Werkunternehmer)</w:t>
      </w:r>
    </w:p>
    <w:p>
      <w:pPr>
        <w:pStyle w:val="ListBullet"/>
      </w:pPr>
      <w:r>
        <w:t>Anwalts- und Gerichtskosten: lfd. ca. 5.000–8.000 EUR</w:t>
      </w:r>
    </w:p>
    <w:p>
      <w:pPr>
        <w:pStyle w:val="ListBullet"/>
      </w:pPr>
      <w:r>
        <w:t>Mietausfall während Verfahren: unklar</w:t>
      </w:r>
    </w:p>
    <w:p>
      <w:pPr>
        <w:jc w:val="left"/>
      </w:pPr>
      <w:r>
        <w:rPr>
          <w:b/>
        </w:rPr>
        <w:t>Empfehlung:</w:t>
      </w:r>
      <w:r>
        <w:t xml:space="preserve"> Offensiv vorgehen, aber Vergleiche zu wirtschaftlich vernünftigen Konditionen nicht ausschließen.</w:t>
      </w:r>
    </w:p>
    <w:p/>
    <w:p>
      <w:pPr>
        <w:jc w:val="left"/>
      </w:pPr>
      <w:r>
        <w:rPr>
          <w:i/>
        </w:rPr>
        <w:t>Memo intern – nicht zur Weitergabe an Dritte</w:t>
      </w:r>
    </w:p>
    <w:p>
      <w:pPr>
        <w:jc w:val="left"/>
      </w:pPr>
      <w:r>
        <w:rPr>
          <w:i/>
        </w:rPr>
        <w:t>Vanessa Hauck-Brüggemann, 12.05.2026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