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Fristenkalender – Straßburger / Rolandstraße 27a</w:t>
      </w:r>
    </w:p>
    <w:p>
      <w:pPr>
        <w:jc w:val="left"/>
      </w:pPr>
      <w:r>
        <w:rPr>
          <w:b/>
        </w:rPr>
        <w:t>Kanzlei Hauck-Brüggemann Mietrecht</w:t>
      </w:r>
    </w:p>
    <w:p>
      <w:pPr>
        <w:jc w:val="left"/>
      </w:pPr>
      <w:r>
        <w:t xml:space="preserve">Stand: </w:t>
      </w:r>
      <w:r>
        <w:rPr>
          <w:b/>
        </w:rPr>
        <w:t>12. Mai 2026</w:t>
      </w:r>
    </w:p>
    <w:p>
      <w:pPr>
        <w:jc w:val="left"/>
      </w:pPr>
      <w:r>
        <w:t>Bearb.: RA'in Vanessa Hauck-Brüggemann / Carina Falk (Kanzleiassistentin)</w:t>
      </w:r>
    </w:p>
    <w:p/>
    <w:p>
      <w:pPr>
        <w:pStyle w:val="Heading2"/>
      </w:pPr>
      <w:r>
        <w:rPr>
          <w:rFonts w:ascii="Times New Roman" w:hAnsi="Times New Roman"/>
        </w:rPr>
        <w:t>Legende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Symbol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⚠️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läuft / dringend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gewahrt / erledigt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offen, nicht dringend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Versäumt / prüfen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/ Termin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Komplex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Notiz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Zugang Kündigung (Einschreiben+GV)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Rückschein liegt vor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Widerspruch Mieter § 574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Innerhalb 2-Monatsfrist; Widerspruch war 18.03.2026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Sanierungsbegehung Schimmel (urspr.)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Schimmel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⚠️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Mieter bestätigen nicht; Mahnung ausgegangen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WEG-Versammlung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Mandanten anwesend, Widerspruch zu Protokoll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Anfechtungsklage WEG</w:t>
            </w:r>
            <w:r>
              <w:rPr>
                <w:rFonts w:ascii="Times New Roman" w:hAnsi="Times New Roman"/>
                <w:sz w:val="20"/>
              </w:rPr>
              <w:t xml:space="preserve"> (1 Monat ab Beschluss)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 eingereicht 12.05.2026 (fristgerecht)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Sanierungsbeginn Schimmel (neu)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Schimmel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⚠️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 bestätigt mit Schimmel-Sano GmbH; Mieter-Bestätigung ausstehend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Räumungsklage einreichen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Entwurf Aktenstück 19 liegt vor; Mandanten-Freigabe erforderlich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Sonderumlage Rate 1</w:t>
            </w:r>
            <w:r>
              <w:rPr>
                <w:rFonts w:ascii="Times New Roman" w:hAnsi="Times New Roman"/>
                <w:sz w:val="20"/>
              </w:rPr>
              <w:t xml:space="preserve"> (9.940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⚠️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 fällig; trotz Anfechtung sofortige Vollziehbarkeit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Fertigstellung Schimmelsanierung (Zieldatum)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Schimmel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Abhängig von Sanierungsbeginn 15.05.2026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Widerspruch § 574b BGB</w:t>
            </w:r>
            <w:r>
              <w:rPr>
                <w:rFonts w:ascii="Times New Roman" w:hAnsi="Times New Roman"/>
                <w:sz w:val="20"/>
              </w:rPr>
              <w:t xml:space="preserve"> (2 Monate vor Mietende)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Mieter haben bereits mit 18.03.2026 widersprochen (früh und formgerecht)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Sonderumlage Rate 2</w:t>
            </w:r>
            <w:r>
              <w:rPr>
                <w:rFonts w:ascii="Times New Roman" w:hAnsi="Times New Roman"/>
                <w:sz w:val="20"/>
              </w:rPr>
              <w:t xml:space="preserve"> (9.940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Zweite Rate WEG-Sonderumlage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Mietende laut Kündigung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Mieter werden nicht freiwillig räumen (Widerspruch eingelegt)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Ca. 12/2026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Mündliche Verhandlung Räumungsklage (Prognose)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Köln: ca. 6–8 Monate Wartezeit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Ca. 10–11/2026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Mündliche Verhandlung WEG-Anfechtung (Prognose)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Köln WEG-Kammer: ca. 5–6 Monate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31.07.2028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Ende Vikariat Albrecht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Eigenbedarf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🔲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Äußerste Schonfrist-Grenze für Mieter-Widerspruch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Prozesskritische Fristen im Detail</w:t>
      </w:r>
    </w:p>
    <w:p>
      <w:pPr>
        <w:pStyle w:val="Heading3"/>
      </w:pPr>
      <w:r>
        <w:rPr>
          <w:rFonts w:ascii="Times New Roman" w:hAnsi="Times New Roman"/>
        </w:rPr>
        <w:t>1. WEG-Anfechtungsfrist (§ 45 WEG)</w:t>
      </w:r>
    </w:p>
    <w:p>
      <w:pPr>
        <w:pStyle w:val="ListBullet"/>
      </w:pPr>
      <w:r>
        <w:t xml:space="preserve">Beschluss: 14.04.2026 → Frist: </w:t>
      </w:r>
      <w:r>
        <w:rPr>
          <w:b/>
        </w:rPr>
        <w:t>1 Monat</w:t>
      </w:r>
      <w:r>
        <w:t xml:space="preserve"> → Ablauf </w:t>
      </w:r>
      <w:r>
        <w:rPr>
          <w:b/>
        </w:rPr>
        <w:t>14.05.2026</w:t>
      </w:r>
    </w:p>
    <w:p>
      <w:pPr>
        <w:pStyle w:val="ListBullet"/>
      </w:pPr>
      <w:r>
        <w:t xml:space="preserve">Klage eingereicht: </w:t>
      </w:r>
      <w:r>
        <w:rPr>
          <w:b/>
        </w:rPr>
        <w:t>12.05.2026</w:t>
      </w:r>
      <w:r>
        <w:t xml:space="preserve"> ✅ (2 Tage Vorlauf)</w:t>
      </w:r>
    </w:p>
    <w:p>
      <w:pPr>
        <w:pStyle w:val="ListBullet"/>
      </w:pPr>
      <w:r>
        <w:rPr>
          <w:b/>
        </w:rPr>
        <w:t>Vorsicht:</w:t>
      </w:r>
      <w:r>
        <w:t xml:space="preserve"> Das Datum 12.05.2026 ist maßgeblich. Die Zustellung an die Beklagte-Verwalterin erfolgt durch das Gericht; Fristwahrungs­wirkung tritt mit Eingang der Klageschrift ein.</w:t>
      </w:r>
    </w:p>
    <w:p>
      <w:pPr>
        <w:pStyle w:val="Heading3"/>
      </w:pPr>
      <w:r>
        <w:rPr>
          <w:rFonts w:ascii="Times New Roman" w:hAnsi="Times New Roman"/>
        </w:rPr>
        <w:t>2. Räumungsklage – keine zwingende Frist</w:t>
      </w:r>
    </w:p>
    <w:p>
      <w:pPr>
        <w:jc w:val="left"/>
      </w:pPr>
      <w:r>
        <w:t xml:space="preserve">Die Räumungsklage hat keine gesetzliche Einreichungsfrist. Jedoch: Je länger der Zeitraum zwischen Kündigungsende (31.10.2026) und Klageeinreichung, desto länger verbleiben die Mieter und desto mehr Schaden entsteht. </w:t>
      </w:r>
      <w:r>
        <w:rPr>
          <w:b/>
        </w:rPr>
        <w:t>Empfehlung: Einreichung Mai 2026.</w:t>
      </w:r>
    </w:p>
    <w:p>
      <w:pPr>
        <w:pStyle w:val="Heading3"/>
      </w:pPr>
      <w:r>
        <w:rPr>
          <w:rFonts w:ascii="Times New Roman" w:hAnsi="Times New Roman"/>
        </w:rPr>
        <w:t>3. § 574b Abs. 2 BGB – Widerspruchsfrist der Mieter</w:t>
      </w:r>
    </w:p>
    <w:p>
      <w:pPr>
        <w:jc w:val="left"/>
      </w:pPr>
      <w:r>
        <w:t xml:space="preserve">Mieter müssen Widerspruch </w:t>
      </w:r>
      <w:r>
        <w:rPr>
          <w:b/>
        </w:rPr>
        <w:t>spätestens 2 Monate vor Mietende</w:t>
      </w:r>
      <w:r>
        <w:t xml:space="preserve"> einlegen, also bis </w:t>
      </w:r>
      <w:r>
        <w:rPr>
          <w:b/>
        </w:rPr>
        <w:t>31. August 2026</w:t>
      </w:r>
      <w:r>
        <w:t>. Der Widerspruch vom 18.03.2026 liegt deutlich früher; er ist formgerecht und nicht zu früh (§ 574b Abs. 1 BGB: Widerspruch ist jederzeit möglich).</w:t>
      </w:r>
    </w:p>
    <w:p>
      <w:pPr>
        <w:pStyle w:val="Heading3"/>
      </w:pPr>
      <w:r>
        <w:rPr>
          <w:rFonts w:ascii="Times New Roman" w:hAnsi="Times New Roman"/>
        </w:rPr>
        <w:t>4. Sonderumlage – Zahlung trotz Anfechtung</w:t>
      </w:r>
    </w:p>
    <w:p>
      <w:pPr>
        <w:jc w:val="left"/>
      </w:pPr>
      <w:r>
        <w:t xml:space="preserve">Die Anfechtungsklage hat </w:t>
      </w:r>
      <w:r>
        <w:rPr>
          <w:b/>
        </w:rPr>
        <w:t>keine aufschiebende Wirkung</w:t>
      </w:r>
      <w:r>
        <w:t xml:space="preserve"> (§ 44 Abs. 3 WEG). Die Mandanten müssen die Sonderumlage (Rate 1: 9.940 EUR am 01.06.2026, Rate 2: 9.940 EUR am 01.09.2026) zahlen, können aber Rückzahlung im Falle obsiegender Anfechtung verlangen. </w:t>
      </w:r>
      <w:r>
        <w:rPr>
          <w:b/>
        </w:rPr>
        <w:t>Wichtiger Hinweis an Mandanten: Zahlen – auch wenn dies unfair erscheint.</w:t>
      </w:r>
    </w:p>
    <w:p/>
    <w:p>
      <w:pPr>
        <w:pStyle w:val="Heading2"/>
      </w:pPr>
      <w:r>
        <w:rPr>
          <w:rFonts w:ascii="Times New Roman" w:hAnsi="Times New Roman"/>
        </w:rPr>
        <w:t>Wiedervorlagetermine (Kanzlei intern)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WV-Anlass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Freigabe Räumungsklage durch Mandanten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Kontrolle Sonderumlage-Zahlung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Sanierungszwischenstand (Schimmel)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Aktualisierung Fristenkalender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Verhandlung WEG-Anfechtung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Status Mietende 31.10.2026</w:t>
            </w:r>
          </w:p>
        </w:tc>
      </w:tr>
    </w:tbl>
    <w:p/>
    <w:p>
      <w:pPr>
        <w:jc w:val="left"/>
      </w:pPr>
      <w:r>
        <w:rPr>
          <w:i/>
        </w:rPr>
        <w:t>Fristenkalender wird laufend aktualisiert — keine abschließende Rechtsberatung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