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Glossar: Schwere Wörter aus dem Mandantenbrief</w:t>
      </w:r>
    </w:p>
    <w:p>
      <w:pPr>
        <w:jc w:val="left"/>
      </w:pPr>
      <w:r>
        <w:t>Dieses Glossar erklärt alle Fachbegriffe aus dem juristischen Originalschreiben.</w:t>
      </w:r>
    </w:p>
    <w:p>
      <w:pPr>
        <w:jc w:val="left"/>
      </w:pPr>
      <w:r>
        <w:t>Es richtet sich an Mandanten sowie an Lernende im Bereich Recht und Sprache.</w:t>
      </w:r>
    </w:p>
    <w:p>
      <w:pPr>
        <w:jc w:val="left"/>
      </w:pPr>
      <w:r>
        <w:t>Die Erklärungen sind bewusst kurz und alltagsnah formuliert.</w:t>
      </w:r>
    </w:p>
    <w:p>
      <w:pPr>
        <w:jc w:val="left"/>
      </w:pPr>
      <w:r>
        <w:t xml:space="preserve">Das Glossar wird durch eine </w:t>
      </w:r>
      <w:r>
        <w:rPr>
          <w:b/>
        </w:rPr>
        <w:t>Sprachstufen-Spalte</w:t>
      </w:r>
      <w:r>
        <w:t xml:space="preserve"> ergänzt: Welche Wörter werden in Einfacher Sprache (DIN SPEC 33429) verwendet, welche in Leichter Sprache (Netzwerk Leichte Sprache) ersetzt? Damit kann das Glossar auch als Übersicht für die Übersetzungsarbeit dienen.</w:t>
      </w:r>
    </w:p>
    <w:p/>
    <w:p>
      <w:pPr>
        <w:pStyle w:val="Heading2"/>
      </w:pPr>
      <w:r>
        <w:rPr>
          <w:rFonts w:ascii="Times New Roman" w:hAnsi="Times New Roman"/>
        </w:rPr>
        <w:t>Rechtsbegriffe aus dem Sozialrecht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Schweres Wort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Einfache Erklärung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Verwendung Einfache Sprache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Verwendung Leichte Sprache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Bescheid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 offizieller Brief einer Behörde. In dem Brief steht eine Entscheidung. Zum Beispiel: wie viel Geld Sie bekommen.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Bescheid (mit Erklärung)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Brief / Brief von der Behörde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Widerspruch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Sie sagen der Behörde schriftlich: Ich bin nicht einverstanden. Bitte prüfen Sie Ihre Entscheidung noch einmal.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 (mit Erklärung)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 (mit Erklärung)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Widerspruchsfrist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Die Zeit, die Sie haben, um Widerspruch einzulegen. Hier beträgt sie einen Monat ab Zustellung des Bescheids.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Widerspruchsfrist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Eine gesetzlich festgelegte Zeit, innerhalb derer etwas getan werden muss. Läuft die Frist ab, kann man meistens nichts mehr tun.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 (mit Erklärung "bestimmte Zeit")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Akteneinsicht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Das Recht, die Unterlagen einer Behörde einzusehen. Ihr Anwalt oder Ihre Anwältin kann die Akte des Jobcenters anfordern und prüfen.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Akteneinsicht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"Wir schauen uns die Unterlagen an"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bestandskräftig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 Bescheid ist bestandskräftig, wenn die Widerspruchsfrist abgelaufen ist und kein Widerspruch eingelegt wurde. Der Bescheid gilt dann als endgültig und kann kaum noch angefochten werden.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"wird bestandskräftig" mit Erklärung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"Der Bescheid wird endgültig"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Wiedereinsetzung in den vorigen 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Ausnahmsweise kann eine versäumte Frist nachträglich "gerettet" werden. Das ist nur möglich, wenn man ohne eigenes Verschulden an der Fristwahrung gehindert war -- zum Beispiel durch schwere Krankheit. Die Anforderungen sind streng.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"Wiedereinsetzung" mit Erklärung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verwendet, ersetzt durch "in Ausnahmen geht das"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Beratungshilfe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Staatliche Unterstützung für Menschen mit wenig Geld. Der Staat übernimmt die Anwaltskosten. Beantragt wird sie beim Amtsgericht.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Beratungshilfe (mit Erklärung)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Beratungshilfe (mit Erklärung)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Kosten der Unterkunft und Heizung (KdU)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Das Geld, das das Jobcenter für Miete, Nebenkosten und Heizung zahlt. Geregelt in § 22 SGB II.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"Kosten der Unterkunft und Heizung" einmal mit Erklärung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"Geld für Wohnung und Heizung"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Angemessenheit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Das Jobcenter übernimmt Wohnkosten nur bis zu einer bestimmten Höhe. Was darüber liegt, gilt als "unangemessen" und wird nicht gezahlt. Was angemessen ist, hängt vom Wohnort und der Wohnungsgröße ab.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"Angemessenheit" mit Erklärung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direkt verwendet; ersetzt durch "bis zu einer bestimmten Höhe"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Leistungsberechtigte Person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Person, die Anspruch auf Bürgergeld hat.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verwendet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verwendet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Bedarfsgemeinschaft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Personen, die zusammen in einem Haushalt leben und Bürgergeld beantragen. Sie werden gemeinsam betrachtet.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"Personen im Haushalt"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"Menschen, die zusammen wohnen"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Mehrbedarf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Zusätzliches Geld für besondere Bedarfe, z. B. werdende Mutter, Alleinerziehende, kostenaufwändige Ernährung.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Mehrbedarf (mit Erklärung)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"zusätzliches Geld"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Sanktion / Leistungsminderung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Die Reduktion des Bürgergelds, wenn der oder die Leistungsberechtigte Mitwirkungspflichten verletzt.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Sanktion (mit Erklärung)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direkt verwendet; ersetzt durch "weniger Geld"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Gesetzliche Grundlagen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Abkürzung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Bedeutung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SGB 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Sozialgesetzbuch, zweites Buch. Das Gesetz, das das Bürgergeld (früher: Hartz IV) regelt.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SGB X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Sozialgesetzbuch, zehntes Buch. Regelt das Verwaltungsverfahren in der Sozialverwaltung, z. B. Akteneinsicht (§ 25 SGB X).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SGG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Sozialgerichtsgesetz. Regelt das Verfahren vor den Sozialgerichten, z. B. die Widerspruchsfrist (§ 84) und die Bestandskraft (§ 77).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BGG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Behindertengleichstellungsgesetz. Verpflichtet Bundesbehörden zur Bereitstellung von Informationen in Leichter Sprache (§ 11 BGG).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BITV 2.0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Barrierefreie-Informationstechnik-Verordnung. Regelt technische Anforderungen an barrierefreie Webseiten und elektronische Dokumente von Bundesbehörden.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DIN SPEC 33429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Erster nationaler Standard für Einfache Sprache (2024).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§ 22 SGB 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Vorschrift über die Übernahme von Wohnkosten (Miete und Heizung) durch das Jobcenter.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§ 22 Abs. 1 SGB 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Tatsächliche Aufwendungen, soweit angemessen.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§ 22 Abs. 1 Satz 4 SGB 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Heizkostennachzahlungen als einmalige Bedarfe.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§ 25 SGB X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 auf Akteneinsicht im Sozialverwaltungsverfahren.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§ 27 SGB X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Wiedereinsetzung in den vorigen Stand bei unverschuldetem Fristversäumnis.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§ 36 SGB 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Örtliche Zuständigkeit des Jobcenters.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§ 77 SGG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Regelung über die Bestandskraft eines nicht angefochtenen Verwaltungsakts.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§ 84 SGG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Vorschrift zur Widerspruchsfrist (ein Monat ab Zustellung).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§ 1814 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Vorschrift über die Bestellung einer rechtlichen Betreuung.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BSG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Bundessozialgericht. Das höchste Gericht für das Sozialrecht in Deutschland. Sitzt in Kassel.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Verfahrensbegriffe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Begriff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Erklärung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Zustellung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Die offizielle Übermittlung eines Bescheids an die betroffene Person. Ab diesem Tag beginnt die Frist zu laufen.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Bewilligungszeitraum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Der Zeitraum, für den das Jobcenter Leistungen bewilligt hat. Hier: Juni bis November 2026.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Schlüssiges Konzept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Das Konzept, mit dem das Jobcenter berechnet, wie hoch die "angemessenen" Wohnkosten in einem bestimmten Ort sind. Das BSG stellt strenge Anforderungen an dieses Konzept.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Heizkostennachzahlung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Wenn die Vorauszahlungen für Heizung zu niedrig waren, muss am Ende des Jahres nachgezahlt werden. Das Jobcenter muss diese Nachzahlung gesondert übernehmen.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Vorauszahlungsmitteilung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Schreiben des Vermieters oder der Wohnungsbaugesellschaft, das angibt, wie hoch die monatlichen Heizkostenvorauszahlungen im kommenden Jahr sein sollen.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Rubrum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Die Kopfzeile eines Schriftsatzes oder Urteils, in der Parteien, Aktenzeichen und Gericht benannt sind.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Vollmacht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Schriftliche Erklärung der Mandantin, dass die Anwältin in ihrem Namen handeln darf.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rechtliche Betreuung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Eine vom Amtsgericht eingerichtete Hilfe für Menschen, die ihre Angelegenheiten nicht mehr allein regeln können. Die Betreuerin oder der Betreuer handelt im Namen der betreuten Person.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Anhörung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Die Behörde muss die betroffene Person befragen, bevor sie eine belastende Entscheidung trifft.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Wer ist wer in dieser Akte?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Person / Stelle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Frau Gisela Neumann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Mandantin (betreute Person, 54 Jahre, Bürgergeld nach SGB II). Hat einen Bescheid des Jobcenters erhalten und sucht anwaltliche Hilfe.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Frau Renate Schmuck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Betreuerin von Frau Neumann (rechtliche Betreuung nach § 1814 BGB), bestellt vom Amtsgericht Berlin-Mitte.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Sabine Muster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Rechtsanwältin, Fachanwältin für Sozialrecht. Verfasserin des Mandantenbriefs.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Kanzlei Muster &amp; Partner GbR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Sozialrechtskanzlei in Berlin, Berliner Allee 47, 10115 Berlin.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Jobcenter Berlin-Lichtenberg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Die Behörde, die den Bescheid erlassen hat.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Frau Helmchen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Sachbearbeiterin im Jobcenter Berlin-Lichtenberg, Team Kosten der Unterkunft.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Wohnungsbaugesellschaft Nord GmbH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Vermieterin von Frau Neumann. Hat die Heizkostenabrechnung erstellt.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Amtsgericht Berlin-Mitte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Zuständig für Beratungshilfeanträge im Bezirk (real).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Bundessozialgericht (BSG)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Hat in mehreren Urteilen geklärt, wann Heizkostennachzahlungen übernommen werden müssen.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Netzwerk Leichte Sprache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Verein, der die Regeln für Leichte Sprache erarbeitet hat.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Deutsches Institut für Normung (DIN)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Hat 2024 die DIN SPEC 33429 für Einfache Sprache veröffentlicht.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Hinweise zur Verwendung des Glossars</w:t>
      </w:r>
    </w:p>
    <w:p>
      <w:pPr>
        <w:pStyle w:val="ListNumber"/>
      </w:pPr>
      <w:r>
        <w:rPr>
          <w:b/>
        </w:rPr>
        <w:t>Beim Schreiben in Einfacher Sprache:</w:t>
      </w:r>
      <w:r>
        <w:t xml:space="preserve"> Fachbegriffe einmal nennen, dann erklären, dann konsistent weiter nutzen. Beispiel: "Sie können Widerspruch einlegen. Widerspruch heißt: Sie schreiben der Behörde, dass Sie nicht einverstanden sind."</w:t>
      </w:r>
    </w:p>
    <w:p>
      <w:pPr>
        <w:pStyle w:val="ListNumber"/>
      </w:pPr>
      <w:r>
        <w:rPr>
          <w:b/>
        </w:rPr>
        <w:t>Beim Schreiben in Leichter Sprache:</w:t>
      </w:r>
      <w:r>
        <w:t xml:space="preserve"> Fachbegriffe nach Möglichkeit komplett ersetzen. Wenn das nicht geht, muss eine einfache Erklärung in einem eigenen Satz folgen. Beispiel: "Der Brief wird endgültig. Das heißt: Sie können dann nichts mehr ändern."</w:t>
      </w:r>
    </w:p>
    <w:p>
      <w:pPr>
        <w:pStyle w:val="ListNumber"/>
      </w:pPr>
      <w:r>
        <w:rPr>
          <w:b/>
        </w:rPr>
        <w:t>Im Glossar zur Akte:</w:t>
      </w:r>
      <w:r>
        <w:t xml:space="preserve"> Das Glossar liegt der Mandantin als eigenes Dokument bei, damit sie auch nach dem Brief Begriffe nachschlagen kann.</w:t>
      </w:r>
    </w:p>
    <w:p>
      <w:pPr>
        <w:pStyle w:val="ListNumber"/>
      </w:pPr>
      <w:r>
        <w:rPr>
          <w:b/>
        </w:rPr>
        <w:t>Im Beratungsgespräch:</w:t>
      </w:r>
      <w:r>
        <w:t xml:space="preserve"> Anwältin sollte das Glossar als gemeinsame Sprachbasis nutzen. Wenn die Mandantin oder Betreuerin einen Begriff im Glossar nicht versteht, ist das Glossar nachzubessern.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