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BITV 2.0, BGG und DIN SPEC 33429 -- Compliance-Hinweis</w:t>
      </w:r>
    </w:p>
    <w:p>
      <w:pPr>
        <w:jc w:val="left"/>
      </w:pPr>
      <w:r>
        <w:t>Dieses Dokument ordnet die in der Akte verwendeten Sprachstufen rechtlich ein und gibt einen Überblick über die einschlägigen Normen und Pflichten. Es richtet sich an die Kanzlei (Verarbeitende), die Mandantschaft (Empfangende) und an Lernende.</w:t>
      </w:r>
    </w:p>
    <w:p/>
    <w:p>
      <w:pPr>
        <w:pStyle w:val="Heading2"/>
      </w:pPr>
      <w:r>
        <w:rPr>
          <w:rFonts w:ascii="Times New Roman" w:hAnsi="Times New Roman"/>
        </w:rPr>
        <w:t>1. Rechtsgrundlagen im 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Norm</w:t>
            </w:r>
          </w:p>
        </w:tc>
        <w:tc>
          <w:tcPr>
            <w:tcW w:type="dxa" w:w="2268"/>
          </w:tcPr>
          <w:p>
            <w:r>
              <w:rPr>
                <w:rFonts w:ascii="Times New Roman" w:hAnsi="Times New Roman"/>
                <w:b/>
                <w:sz w:val="20"/>
              </w:rPr>
              <w:t>Inhalt</w:t>
            </w:r>
          </w:p>
        </w:tc>
        <w:tc>
          <w:tcPr>
            <w:tcW w:type="dxa" w:w="2268"/>
          </w:tcPr>
          <w:p>
            <w:r>
              <w:rPr>
                <w:rFonts w:ascii="Times New Roman" w:hAnsi="Times New Roman"/>
                <w:b/>
                <w:sz w:val="20"/>
              </w:rPr>
              <w:t>Adressat</w:t>
            </w:r>
          </w:p>
        </w:tc>
        <w:tc>
          <w:tcPr>
            <w:tcW w:type="dxa" w:w="2268"/>
          </w:tcPr>
          <w:p>
            <w:r>
              <w:rPr>
                <w:rFonts w:ascii="Times New Roman" w:hAnsi="Times New Roman"/>
                <w:b/>
                <w:sz w:val="20"/>
              </w:rPr>
              <w:t>Relevanz für die Kanzlei</w:t>
            </w:r>
          </w:p>
        </w:tc>
      </w:tr>
      <w:tr>
        <w:tc>
          <w:tcPr>
            <w:tcW w:type="dxa" w:w="2268"/>
          </w:tcPr>
          <w:p>
            <w:r>
              <w:rPr>
                <w:rFonts w:ascii="Times New Roman" w:hAnsi="Times New Roman"/>
                <w:b/>
                <w:sz w:val="20"/>
              </w:rPr>
              <w:t>BGG -- Behindertengleichstellungsgesetz</w:t>
            </w:r>
          </w:p>
        </w:tc>
        <w:tc>
          <w:tcPr>
            <w:tcW w:type="dxa" w:w="2268"/>
          </w:tcPr>
          <w:p>
            <w:r>
              <w:rPr>
                <w:rFonts w:ascii="Times New Roman" w:hAnsi="Times New Roman"/>
                <w:sz w:val="20"/>
              </w:rPr>
              <w:t>Verpflichtet Bundesbehörden zur Gewährleistung von Barrierefreiheit. Bundeseinheitliche Sprache und Verhältnismäßigkeit.</w:t>
            </w:r>
          </w:p>
        </w:tc>
        <w:tc>
          <w:tcPr>
            <w:tcW w:type="dxa" w:w="2268"/>
          </w:tcPr>
          <w:p>
            <w:r>
              <w:rPr>
                <w:rFonts w:ascii="Times New Roman" w:hAnsi="Times New Roman"/>
                <w:sz w:val="20"/>
              </w:rPr>
              <w:t>Bundesbehörden, Bundesverwaltung</w:t>
            </w:r>
          </w:p>
        </w:tc>
        <w:tc>
          <w:tcPr>
            <w:tcW w:type="dxa" w:w="2268"/>
          </w:tcPr>
          <w:p>
            <w:r>
              <w:rPr>
                <w:rFonts w:ascii="Times New Roman" w:hAnsi="Times New Roman"/>
                <w:sz w:val="20"/>
              </w:rPr>
              <w:t>Nicht direkt anwendbar auf Anwaltskanzleien, aber Maßstab für die Praxis.</w:t>
            </w:r>
          </w:p>
        </w:tc>
      </w:tr>
      <w:tr>
        <w:tc>
          <w:tcPr>
            <w:tcW w:type="dxa" w:w="2268"/>
          </w:tcPr>
          <w:p>
            <w:r>
              <w:rPr>
                <w:rFonts w:ascii="Times New Roman" w:hAnsi="Times New Roman"/>
                <w:b/>
                <w:sz w:val="20"/>
              </w:rPr>
              <w:t>BITV 2.0 -- Barrierefreie-Informationstechnik-Verordnung</w:t>
            </w:r>
          </w:p>
        </w:tc>
        <w:tc>
          <w:tcPr>
            <w:tcW w:type="dxa" w:w="2268"/>
          </w:tcPr>
          <w:p>
            <w:r>
              <w:rPr>
                <w:rFonts w:ascii="Times New Roman" w:hAnsi="Times New Roman"/>
                <w:sz w:val="20"/>
              </w:rPr>
              <w:t>Technische Anforderungen an barrierefreie Webseiten und elektronische Dokumente. Insbesondere § 4 BITV 2.0 (Stellungnahme zur Barrierefreiheit).</w:t>
            </w:r>
          </w:p>
        </w:tc>
        <w:tc>
          <w:tcPr>
            <w:tcW w:type="dxa" w:w="2268"/>
          </w:tcPr>
          <w:p>
            <w:r>
              <w:rPr>
                <w:rFonts w:ascii="Times New Roman" w:hAnsi="Times New Roman"/>
                <w:sz w:val="20"/>
              </w:rPr>
              <w:t>Behörden des Bundes; einige Landes-Versionen ähnlich</w:t>
            </w:r>
          </w:p>
        </w:tc>
        <w:tc>
          <w:tcPr>
            <w:tcW w:type="dxa" w:w="2268"/>
          </w:tcPr>
          <w:p>
            <w:r>
              <w:rPr>
                <w:rFonts w:ascii="Times New Roman" w:hAnsi="Times New Roman"/>
                <w:sz w:val="20"/>
              </w:rPr>
              <w:t>Anwaltskanzleien sind formell nicht erfasst; die Anforderungen sind aber als best practice anerkannt.</w:t>
            </w:r>
          </w:p>
        </w:tc>
      </w:tr>
      <w:tr>
        <w:tc>
          <w:tcPr>
            <w:tcW w:type="dxa" w:w="2268"/>
          </w:tcPr>
          <w:p>
            <w:r>
              <w:rPr>
                <w:rFonts w:ascii="Times New Roman" w:hAnsi="Times New Roman"/>
                <w:b/>
                <w:sz w:val="20"/>
              </w:rPr>
              <w:t>WCAG 2.1 / 2.2</w:t>
            </w:r>
          </w:p>
        </w:tc>
        <w:tc>
          <w:tcPr>
            <w:tcW w:type="dxa" w:w="2268"/>
          </w:tcPr>
          <w:p>
            <w:r>
              <w:rPr>
                <w:rFonts w:ascii="Times New Roman" w:hAnsi="Times New Roman"/>
                <w:sz w:val="20"/>
              </w:rPr>
              <w:t>Web Content Accessibility Guidelines (Konformitätsstufe A, AA, AAA).</w:t>
            </w:r>
          </w:p>
        </w:tc>
        <w:tc>
          <w:tcPr>
            <w:tcW w:type="dxa" w:w="2268"/>
          </w:tcPr>
          <w:p>
            <w:r>
              <w:rPr>
                <w:rFonts w:ascii="Times New Roman" w:hAnsi="Times New Roman"/>
                <w:sz w:val="20"/>
              </w:rPr>
              <w:t>global</w:t>
            </w:r>
          </w:p>
        </w:tc>
        <w:tc>
          <w:tcPr>
            <w:tcW w:type="dxa" w:w="2268"/>
          </w:tcPr>
          <w:p>
            <w:r>
              <w:rPr>
                <w:rFonts w:ascii="Times New Roman" w:hAnsi="Times New Roman"/>
                <w:sz w:val="20"/>
              </w:rPr>
              <w:t>Für die Kanzlei-Website relevant, wenn sie an öffentliche Aufträge mit Barrierefreiheits-Anforderungen heranreicht.</w:t>
            </w:r>
          </w:p>
        </w:tc>
      </w:tr>
      <w:tr>
        <w:tc>
          <w:tcPr>
            <w:tcW w:type="dxa" w:w="2268"/>
          </w:tcPr>
          <w:p>
            <w:r>
              <w:rPr>
                <w:rFonts w:ascii="Times New Roman" w:hAnsi="Times New Roman"/>
                <w:b/>
                <w:sz w:val="20"/>
              </w:rPr>
              <w:t>DIN SPEC 33429:2024-08</w:t>
            </w:r>
          </w:p>
        </w:tc>
        <w:tc>
          <w:tcPr>
            <w:tcW w:type="dxa" w:w="2268"/>
          </w:tcPr>
          <w:p>
            <w:r>
              <w:rPr>
                <w:rFonts w:ascii="Times New Roman" w:hAnsi="Times New Roman"/>
                <w:sz w:val="20"/>
              </w:rPr>
              <w:t>Erster nationaler Standard für Einfache Sprache. Definiert Kriterien (Satzlänge, Wortschatz, Struktur, Lesbarkeit).</w:t>
            </w:r>
          </w:p>
        </w:tc>
        <w:tc>
          <w:tcPr>
            <w:tcW w:type="dxa" w:w="2268"/>
          </w:tcPr>
          <w:p>
            <w:r>
              <w:rPr>
                <w:rFonts w:ascii="Times New Roman" w:hAnsi="Times New Roman"/>
                <w:sz w:val="20"/>
              </w:rPr>
              <w:t>Anbieter von Texten in Einfacher Sprache</w:t>
            </w:r>
          </w:p>
        </w:tc>
        <w:tc>
          <w:tcPr>
            <w:tcW w:type="dxa" w:w="2268"/>
          </w:tcPr>
          <w:p>
            <w:r>
              <w:rPr>
                <w:rFonts w:ascii="Times New Roman" w:hAnsi="Times New Roman"/>
                <w:sz w:val="20"/>
              </w:rPr>
              <w:t>Methodischer Bezugspunkt für Einfache-Sprache-Fassung in dieser Akte.</w:t>
            </w:r>
          </w:p>
        </w:tc>
      </w:tr>
      <w:tr>
        <w:tc>
          <w:tcPr>
            <w:tcW w:type="dxa" w:w="2268"/>
          </w:tcPr>
          <w:p>
            <w:r>
              <w:rPr>
                <w:rFonts w:ascii="Times New Roman" w:hAnsi="Times New Roman"/>
                <w:b/>
                <w:sz w:val="20"/>
              </w:rPr>
              <w:t>Regelwerk Netzwerk Leichte Sprache</w:t>
            </w:r>
          </w:p>
        </w:tc>
        <w:tc>
          <w:tcPr>
            <w:tcW w:type="dxa" w:w="2268"/>
          </w:tcPr>
          <w:p>
            <w:r>
              <w:rPr>
                <w:rFonts w:ascii="Times New Roman" w:hAnsi="Times New Roman"/>
                <w:sz w:val="20"/>
              </w:rPr>
              <w:t>Praxisbekanntes Regelwerk (keine DIN-Norm). Strengere Kriterien als Einfache Sprache.</w:t>
            </w:r>
          </w:p>
        </w:tc>
        <w:tc>
          <w:tcPr>
            <w:tcW w:type="dxa" w:w="2268"/>
          </w:tcPr>
          <w:p>
            <w:r>
              <w:rPr>
                <w:rFonts w:ascii="Times New Roman" w:hAnsi="Times New Roman"/>
                <w:sz w:val="20"/>
              </w:rPr>
              <w:t>Anbieter von Leichter Sprache</w:t>
            </w:r>
          </w:p>
        </w:tc>
        <w:tc>
          <w:tcPr>
            <w:tcW w:type="dxa" w:w="2268"/>
          </w:tcPr>
          <w:p>
            <w:r>
              <w:rPr>
                <w:rFonts w:ascii="Times New Roman" w:hAnsi="Times New Roman"/>
                <w:sz w:val="20"/>
              </w:rPr>
              <w:t>Methodischer Bezugspunkt für Leichte-Sprache-Fassung.</w:t>
            </w:r>
          </w:p>
        </w:tc>
      </w:tr>
      <w:tr>
        <w:tc>
          <w:tcPr>
            <w:tcW w:type="dxa" w:w="2268"/>
          </w:tcPr>
          <w:p>
            <w:r>
              <w:rPr>
                <w:rFonts w:ascii="Times New Roman" w:hAnsi="Times New Roman"/>
                <w:b/>
                <w:sz w:val="20"/>
              </w:rPr>
              <w:t>§ 1814 BGB</w:t>
            </w:r>
          </w:p>
        </w:tc>
        <w:tc>
          <w:tcPr>
            <w:tcW w:type="dxa" w:w="2268"/>
          </w:tcPr>
          <w:p>
            <w:r>
              <w:rPr>
                <w:rFonts w:ascii="Times New Roman" w:hAnsi="Times New Roman"/>
                <w:sz w:val="20"/>
              </w:rPr>
              <w:t>Voraussetzungen für rechtliche Betreuung.</w:t>
            </w:r>
          </w:p>
        </w:tc>
        <w:tc>
          <w:tcPr>
            <w:tcW w:type="dxa" w:w="2268"/>
          </w:tcPr>
          <w:p>
            <w:r>
              <w:rPr>
                <w:rFonts w:ascii="Times New Roman" w:hAnsi="Times New Roman"/>
                <w:sz w:val="20"/>
              </w:rPr>
              <w:t>Betreuungsgerichte und Beteiligte</w:t>
            </w:r>
          </w:p>
        </w:tc>
        <w:tc>
          <w:tcPr>
            <w:tcW w:type="dxa" w:w="2268"/>
          </w:tcPr>
          <w:p>
            <w:r>
              <w:rPr>
                <w:rFonts w:ascii="Times New Roman" w:hAnsi="Times New Roman"/>
                <w:sz w:val="20"/>
              </w:rPr>
              <w:t>Mandantin in dieser Akte steht unter Betreuung; informierte Selbstentscheidung verlangt eine verstandene Information.</w:t>
            </w:r>
          </w:p>
        </w:tc>
      </w:tr>
      <w:tr>
        <w:tc>
          <w:tcPr>
            <w:tcW w:type="dxa" w:w="2268"/>
          </w:tcPr>
          <w:p>
            <w:r>
              <w:rPr>
                <w:rFonts w:ascii="Times New Roman" w:hAnsi="Times New Roman"/>
                <w:b/>
                <w:sz w:val="20"/>
              </w:rPr>
              <w:t>§ 11 BGG i. V. m. § 14 BGG</w:t>
            </w:r>
          </w:p>
        </w:tc>
        <w:tc>
          <w:tcPr>
            <w:tcW w:type="dxa" w:w="2268"/>
          </w:tcPr>
          <w:p>
            <w:r>
              <w:rPr>
                <w:rFonts w:ascii="Times New Roman" w:hAnsi="Times New Roman"/>
                <w:sz w:val="20"/>
              </w:rPr>
              <w:t>Verpflichtung der Bundesbehörden zur Bereitstellung von Informationen in Leichter Sprache auf Anforderung.</w:t>
            </w:r>
          </w:p>
        </w:tc>
        <w:tc>
          <w:tcPr>
            <w:tcW w:type="dxa" w:w="2268"/>
          </w:tcPr>
          <w:p>
            <w:r>
              <w:rPr>
                <w:rFonts w:ascii="Times New Roman" w:hAnsi="Times New Roman"/>
                <w:sz w:val="20"/>
              </w:rPr>
              <w:t>Bundesbehörden</w:t>
            </w:r>
          </w:p>
        </w:tc>
        <w:tc>
          <w:tcPr>
            <w:tcW w:type="dxa" w:w="2268"/>
          </w:tcPr>
          <w:p>
            <w:r>
              <w:rPr>
                <w:rFonts w:ascii="Times New Roman" w:hAnsi="Times New Roman"/>
                <w:sz w:val="20"/>
              </w:rPr>
              <w:t>Jobcenter Berlin-Lichtenberg ist Behörde im Sinne dieser Norm; kann zur Bereitstellung in Leichter Sprache verpflichtet werden.</w:t>
            </w:r>
          </w:p>
        </w:tc>
      </w:tr>
      <w:tr>
        <w:tc>
          <w:tcPr>
            <w:tcW w:type="dxa" w:w="2268"/>
          </w:tcPr>
          <w:p>
            <w:r>
              <w:rPr>
                <w:rFonts w:ascii="Times New Roman" w:hAnsi="Times New Roman"/>
                <w:b/>
                <w:sz w:val="20"/>
              </w:rPr>
              <w:t>EU-Richtlinie 2016/2102 (Web-Accessibility-Directive)</w:t>
            </w:r>
          </w:p>
        </w:tc>
        <w:tc>
          <w:tcPr>
            <w:tcW w:type="dxa" w:w="2268"/>
          </w:tcPr>
          <w:p>
            <w:r>
              <w:rPr>
                <w:rFonts w:ascii="Times New Roman" w:hAnsi="Times New Roman"/>
                <w:sz w:val="20"/>
              </w:rPr>
              <w:t>Bindet öffentliche Stellen zur Barrierefreiheit von Webauftritten und mobilen Anwendungen.</w:t>
            </w:r>
          </w:p>
        </w:tc>
        <w:tc>
          <w:tcPr>
            <w:tcW w:type="dxa" w:w="2268"/>
          </w:tcPr>
          <w:p>
            <w:r>
              <w:rPr>
                <w:rFonts w:ascii="Times New Roman" w:hAnsi="Times New Roman"/>
                <w:sz w:val="20"/>
              </w:rPr>
              <w:t>öffentliche Stellen in EU</w:t>
            </w:r>
          </w:p>
        </w:tc>
        <w:tc>
          <w:tcPr>
            <w:tcW w:type="dxa" w:w="2268"/>
          </w:tcPr>
          <w:p>
            <w:r>
              <w:rPr>
                <w:rFonts w:ascii="Times New Roman" w:hAnsi="Times New Roman"/>
                <w:sz w:val="20"/>
              </w:rPr>
              <w:t>Indirekte Auswirkung über die nationale Umsetzung.</w:t>
            </w:r>
          </w:p>
        </w:tc>
      </w:tr>
      <w:tr>
        <w:tc>
          <w:tcPr>
            <w:tcW w:type="dxa" w:w="2268"/>
          </w:tcPr>
          <w:p>
            <w:r>
              <w:rPr>
                <w:rFonts w:ascii="Times New Roman" w:hAnsi="Times New Roman"/>
                <w:b/>
                <w:sz w:val="20"/>
              </w:rPr>
              <w:t>EU-Richtlinie 2019/882 (European Accessibility Act)</w:t>
            </w:r>
          </w:p>
        </w:tc>
        <w:tc>
          <w:tcPr>
            <w:tcW w:type="dxa" w:w="2268"/>
          </w:tcPr>
          <w:p>
            <w:r>
              <w:rPr>
                <w:rFonts w:ascii="Times New Roman" w:hAnsi="Times New Roman"/>
                <w:sz w:val="20"/>
              </w:rPr>
              <w:t>Erweitert Barrierefreiheits-Anforderungen auf private Wirtschaftsakteure für bestimmte Produkte und Dienstleistungen. Umsetzung bis 28.06.2025.</w:t>
            </w:r>
          </w:p>
        </w:tc>
        <w:tc>
          <w:tcPr>
            <w:tcW w:type="dxa" w:w="2268"/>
          </w:tcPr>
          <w:p>
            <w:r>
              <w:rPr>
                <w:rFonts w:ascii="Times New Roman" w:hAnsi="Times New Roman"/>
                <w:sz w:val="20"/>
              </w:rPr>
              <w:t>Wirtschaftsakteure mit Verbrauchsdienstleistungen (z. B. E-Commerce, Bankdienstleistungen)</w:t>
            </w:r>
          </w:p>
        </w:tc>
        <w:tc>
          <w:tcPr>
            <w:tcW w:type="dxa" w:w="2268"/>
          </w:tcPr>
          <w:p>
            <w:r>
              <w:rPr>
                <w:rFonts w:ascii="Times New Roman" w:hAnsi="Times New Roman"/>
                <w:sz w:val="20"/>
              </w:rPr>
              <w:t>Anwaltsleistungen sind in der Grundauffassung nicht direkt erfasst, aber Kanzleien sollten die Entwicklung beobachten.</w:t>
            </w:r>
          </w:p>
        </w:tc>
      </w:tr>
    </w:tbl>
    <w:p/>
    <w:p>
      <w:pPr>
        <w:pStyle w:val="Heading2"/>
      </w:pPr>
      <w:r>
        <w:rPr>
          <w:rFonts w:ascii="Times New Roman" w:hAnsi="Times New Roman"/>
        </w:rPr>
        <w:t>2. Wann ist Einfache Sprache, wann Leichte Sprache richtig?</w:t>
      </w:r>
    </w:p>
    <w:p>
      <w:pPr>
        <w:jc w:val="left"/>
      </w:pPr>
      <w:r>
        <w:t xml:space="preserve">Eine pauschale Regel gibt es nicht. Die Wahl der Sprachstufe hängt vom </w:t>
      </w:r>
      <w:r>
        <w:rPr>
          <w:b/>
        </w:rPr>
        <w:t>konkreten Adressaten</w:t>
      </w:r>
      <w:r>
        <w:t xml:space="preserve">, vom </w:t>
      </w:r>
      <w:r>
        <w:rPr>
          <w:b/>
        </w:rPr>
        <w:t>Kommunikationszweck</w:t>
      </w:r>
      <w:r>
        <w:t xml:space="preserve"> und von der </w:t>
      </w:r>
      <w:r>
        <w:rPr>
          <w:b/>
        </w:rPr>
        <w:t>Komplexität des Inhalts</w:t>
      </w:r>
      <w:r>
        <w:t xml:space="preserve"> ab.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Sprachstufe</w:t>
            </w:r>
          </w:p>
        </w:tc>
        <w:tc>
          <w:tcPr>
            <w:tcW w:type="dxa" w:w="3024"/>
          </w:tcPr>
          <w:p>
            <w:r>
              <w:rPr>
                <w:rFonts w:ascii="Times New Roman" w:hAnsi="Times New Roman"/>
                <w:b/>
                <w:sz w:val="20"/>
              </w:rPr>
              <w:t>Geeignet für</w:t>
            </w:r>
          </w:p>
        </w:tc>
        <w:tc>
          <w:tcPr>
            <w:tcW w:type="dxa" w:w="3024"/>
          </w:tcPr>
          <w:p>
            <w:r>
              <w:rPr>
                <w:rFonts w:ascii="Times New Roman" w:hAnsi="Times New Roman"/>
                <w:b/>
                <w:sz w:val="20"/>
              </w:rPr>
              <w:t>Eingrenzung</w:t>
            </w:r>
          </w:p>
        </w:tc>
      </w:tr>
      <w:tr>
        <w:tc>
          <w:tcPr>
            <w:tcW w:type="dxa" w:w="3024"/>
          </w:tcPr>
          <w:p>
            <w:r>
              <w:rPr>
                <w:rFonts w:ascii="Times New Roman" w:hAnsi="Times New Roman"/>
                <w:b/>
                <w:sz w:val="20"/>
              </w:rPr>
              <w:t>Standardsprache</w:t>
            </w:r>
          </w:p>
        </w:tc>
        <w:tc>
          <w:tcPr>
            <w:tcW w:type="dxa" w:w="3024"/>
          </w:tcPr>
          <w:p>
            <w:r>
              <w:rPr>
                <w:rFonts w:ascii="Times New Roman" w:hAnsi="Times New Roman"/>
                <w:sz w:val="20"/>
              </w:rPr>
              <w:t>Juristisch versierte Mandantschaft, Kollegen, Gericht</w:t>
            </w:r>
          </w:p>
        </w:tc>
        <w:tc>
          <w:tcPr>
            <w:tcW w:type="dxa" w:w="3024"/>
          </w:tcPr>
          <w:p>
            <w:r>
              <w:rPr>
                <w:rFonts w:ascii="Times New Roman" w:hAnsi="Times New Roman"/>
                <w:sz w:val="20"/>
              </w:rPr>
              <w:t>Setzt Sprachverständnis und Fachkenntnis voraus</w:t>
            </w:r>
          </w:p>
        </w:tc>
      </w:tr>
      <w:tr>
        <w:tc>
          <w:tcPr>
            <w:tcW w:type="dxa" w:w="3024"/>
          </w:tcPr>
          <w:p>
            <w:r>
              <w:rPr>
                <w:rFonts w:ascii="Times New Roman" w:hAnsi="Times New Roman"/>
                <w:b/>
                <w:sz w:val="20"/>
              </w:rPr>
              <w:t>Einfache Sprache (DIN SPEC 33429)</w:t>
            </w:r>
          </w:p>
        </w:tc>
        <w:tc>
          <w:tcPr>
            <w:tcW w:type="dxa" w:w="3024"/>
          </w:tcPr>
          <w:p>
            <w:r>
              <w:rPr>
                <w:rFonts w:ascii="Times New Roman" w:hAnsi="Times New Roman"/>
                <w:sz w:val="20"/>
              </w:rPr>
              <w:t>Mandantschaft mit eingeschränkter Lesekompetenz, mit wenig Deutschkenntnissen, mit geringer juristischer Erfahrung</w:t>
            </w:r>
          </w:p>
        </w:tc>
        <w:tc>
          <w:tcPr>
            <w:tcW w:type="dxa" w:w="3024"/>
          </w:tcPr>
          <w:p>
            <w:r>
              <w:rPr>
                <w:rFonts w:ascii="Times New Roman" w:hAnsi="Times New Roman"/>
                <w:sz w:val="20"/>
              </w:rPr>
              <w:t>Vermindert juristische Tiefe, aber bleibt informationsreich</w:t>
            </w:r>
          </w:p>
        </w:tc>
      </w:tr>
      <w:tr>
        <w:tc>
          <w:tcPr>
            <w:tcW w:type="dxa" w:w="3024"/>
          </w:tcPr>
          <w:p>
            <w:r>
              <w:rPr>
                <w:rFonts w:ascii="Times New Roman" w:hAnsi="Times New Roman"/>
                <w:b/>
                <w:sz w:val="20"/>
              </w:rPr>
              <w:t>Leichte Sprache (Netzwerk Leichte Sprache)</w:t>
            </w:r>
          </w:p>
        </w:tc>
        <w:tc>
          <w:tcPr>
            <w:tcW w:type="dxa" w:w="3024"/>
          </w:tcPr>
          <w:p>
            <w:r>
              <w:rPr>
                <w:rFonts w:ascii="Times New Roman" w:hAnsi="Times New Roman"/>
                <w:sz w:val="20"/>
              </w:rPr>
              <w:t>Mandantschaft mit kognitiven Einschränkungen, mit geistiger Behinderung, mit schwerer Leseschwäche</w:t>
            </w:r>
          </w:p>
        </w:tc>
        <w:tc>
          <w:tcPr>
            <w:tcW w:type="dxa" w:w="3024"/>
          </w:tcPr>
          <w:p>
            <w:r>
              <w:rPr>
                <w:rFonts w:ascii="Times New Roman" w:hAnsi="Times New Roman"/>
                <w:sz w:val="20"/>
              </w:rPr>
              <w:t>Reduziert Information stark; erfordert Zielgruppenprüfung; ist als alleinige Kommunikation kaum ausreichend, sondern als Begleitung zum Standardbrief gedacht</w:t>
            </w:r>
          </w:p>
        </w:tc>
      </w:tr>
    </w:tbl>
    <w:p>
      <w:pPr>
        <w:jc w:val="left"/>
      </w:pPr>
      <w:r>
        <w:t xml:space="preserve">In der vorliegenden Akte ist Frau Neumann eine Mandantin mit </w:t>
      </w:r>
      <w:r>
        <w:rPr>
          <w:b/>
        </w:rPr>
        <w:t>rechtlicher Betreuung</w:t>
      </w:r>
      <w:r>
        <w:t xml:space="preserve"> und kognitiven Einschränkungen. Die Kanzlei hat deshalb </w:t>
      </w:r>
      <w:r>
        <w:rPr>
          <w:b/>
        </w:rPr>
        <w:t>beide Sprachstufen parallel</w:t>
      </w:r>
      <w:r>
        <w:t xml:space="preserve"> angeboten:</w:t>
      </w:r>
    </w:p>
    <w:p>
      <w:pPr>
        <w:pStyle w:val="ListBullet"/>
      </w:pPr>
      <w:r>
        <w:t>Standardbrief (juristisch korrekt, vollständig informativ, für die Akte und das Gericht).</w:t>
      </w:r>
    </w:p>
    <w:p>
      <w:pPr>
        <w:pStyle w:val="ListBullet"/>
      </w:pPr>
      <w:r>
        <w:t>Einfache Sprache (für die selbstständige Lektüre durch Frau Neumann).</w:t>
      </w:r>
    </w:p>
    <w:p>
      <w:pPr>
        <w:pStyle w:val="ListBullet"/>
      </w:pPr>
      <w:r>
        <w:t>Leichte Sprache (als zusätzliche Unterstützung, insbesondere für die Vorbereitung des persönlichen Termins).</w:t>
      </w:r>
    </w:p>
    <w:p/>
    <w:p>
      <w:pPr>
        <w:pStyle w:val="Heading2"/>
      </w:pPr>
      <w:r>
        <w:rPr>
          <w:rFonts w:ascii="Times New Roman" w:hAnsi="Times New Roman"/>
        </w:rPr>
        <w:t>3. Methodischer Hinweis -- Zielgruppenprüfung</w:t>
      </w:r>
    </w:p>
    <w:p>
      <w:pPr>
        <w:jc w:val="left"/>
      </w:pPr>
      <w:r>
        <w:t xml:space="preserve">Nach dem </w:t>
      </w:r>
      <w:r>
        <w:rPr>
          <w:b/>
        </w:rPr>
        <w:t>Regelwerk des Netzwerks Leichte Sprache</w:t>
      </w:r>
      <w:r>
        <w:t xml:space="preserve"> ist eine </w:t>
      </w:r>
      <w:r>
        <w:rPr>
          <w:b/>
        </w:rPr>
        <w:t>Prüfung durch Menschen aus der Zielgruppe</w:t>
      </w:r>
      <w:r>
        <w:t xml:space="preserve"> verpflichtend, bevor ein Text offiziell als "Leichte Sprache" bezeichnet werden darf.</w:t>
      </w:r>
    </w:p>
    <w:p>
      <w:pPr>
        <w:jc w:val="left"/>
      </w:pPr>
      <w:r>
        <w:rPr>
          <w:b/>
        </w:rPr>
        <w:t>In dieser Akte:</w:t>
      </w:r>
      <w:r>
        <w:t xml:space="preserve"> Die Zielgruppenprüfung ist </w:t>
      </w:r>
      <w:r>
        <w:rPr>
          <w:b/>
        </w:rPr>
        <w:t>nicht erfolgt</w:t>
      </w:r>
      <w:r>
        <w:t xml:space="preserve">. Die in dieser Akte enthaltenen Leichte-Sprache-Fassungen sind daher methodisch als </w:t>
      </w:r>
      <w:r>
        <w:rPr>
          <w:b/>
        </w:rPr>
        <w:t>Entwürfe</w:t>
      </w:r>
      <w:r>
        <w:t xml:space="preserve"> zu verstehen. Bei einer realen Mandantenkommunikation müsste vor Versand:</w:t>
      </w:r>
    </w:p>
    <w:p>
      <w:pPr>
        <w:pStyle w:val="ListNumber"/>
      </w:pPr>
      <w:r>
        <w:t>ein oder mehrere Prüfer aus der Zielgruppe (z. B. Werkstatt für Menschen mit Behinderung, Vereine wie "Mensch zuerst", spezialisierte Lektorate) den Text lesen,</w:t>
      </w:r>
    </w:p>
    <w:p>
      <w:pPr>
        <w:pStyle w:val="ListNumber"/>
      </w:pPr>
      <w:r>
        <w:t>fragen, was unklar bleibt,</w:t>
      </w:r>
    </w:p>
    <w:p>
      <w:pPr>
        <w:pStyle w:val="ListNumber"/>
      </w:pPr>
      <w:r>
        <w:t>mit Rückmeldungen den Text überarbeiten,</w:t>
      </w:r>
    </w:p>
    <w:p>
      <w:pPr>
        <w:pStyle w:val="ListNumber"/>
      </w:pPr>
      <w:r>
        <w:t>den überarbeiteten Text erneut prüfen lassen,</w:t>
      </w:r>
    </w:p>
    <w:p>
      <w:pPr>
        <w:pStyle w:val="ListNumber"/>
      </w:pPr>
      <w:r>
        <w:t>erst dann den Text als "Leichte Sprache" verwenden.</w:t>
      </w:r>
    </w:p>
    <w:p>
      <w:pPr>
        <w:jc w:val="left"/>
      </w:pPr>
      <w:r>
        <w:t>Die Prüfung dauert pro Brief erfahrungsgemäß 60 -- 90 Minuten und kostet 80 -- 150 EUR (Honorar Prüfer / Werkstatt-Pauschale). Diese Kosten sind nicht durch Beratungshilfe oder Prozesskostenhilfe abgedeckt; in der Kanzlei Muster &amp; Partner ist dafür ein Hausbudget reserviert ("Barrierefreiheit-Mandate").</w:t>
      </w:r>
    </w:p>
    <w:p/>
    <w:p>
      <w:pPr>
        <w:pStyle w:val="Heading2"/>
      </w:pPr>
      <w:r>
        <w:rPr>
          <w:rFonts w:ascii="Times New Roman" w:hAnsi="Times New Roman"/>
        </w:rPr>
        <w:t>4. Compliance-Hinweis Kanzlei-Website</w:t>
      </w:r>
    </w:p>
    <w:p>
      <w:pPr>
        <w:jc w:val="left"/>
      </w:pPr>
      <w:r>
        <w:t>Die Kanzlei Muster &amp; Partner bietet auf ihrer eigenen Website (kanzlei-muster-partner.de) folgende Barrierefreiheits-Elemente: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Element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Erklärung zur Barrierefreiheit (im Footer)</w:t>
            </w:r>
          </w:p>
        </w:tc>
        <w:tc>
          <w:tcPr>
            <w:tcW w:type="dxa" w:w="4536"/>
          </w:tcPr>
          <w:p>
            <w:r>
              <w:rPr>
                <w:rFonts w:ascii="Times New Roman" w:hAnsi="Times New Roman"/>
                <w:sz w:val="20"/>
              </w:rPr>
              <w:t>vorhanden, Stand 01.03.2026</w:t>
            </w:r>
          </w:p>
        </w:tc>
      </w:tr>
      <w:tr>
        <w:tc>
          <w:tcPr>
            <w:tcW w:type="dxa" w:w="4536"/>
          </w:tcPr>
          <w:p>
            <w:r>
              <w:rPr>
                <w:rFonts w:ascii="Times New Roman" w:hAnsi="Times New Roman"/>
                <w:sz w:val="20"/>
              </w:rPr>
              <w:t>Kontaktmöglichkeit per E-Mail in Leichter Sprache</w:t>
            </w:r>
          </w:p>
        </w:tc>
        <w:tc>
          <w:tcPr>
            <w:tcW w:type="dxa" w:w="4536"/>
          </w:tcPr>
          <w:p>
            <w:r>
              <w:rPr>
                <w:rFonts w:ascii="Times New Roman" w:hAnsi="Times New Roman"/>
                <w:sz w:val="20"/>
              </w:rPr>
              <w:t>vorhanden ("E-Mail in einfacher Sprache an: leichtmail@kanzlei-muster-partner.de")</w:t>
            </w:r>
          </w:p>
        </w:tc>
      </w:tr>
      <w:tr>
        <w:tc>
          <w:tcPr>
            <w:tcW w:type="dxa" w:w="4536"/>
          </w:tcPr>
          <w:p>
            <w:r>
              <w:rPr>
                <w:rFonts w:ascii="Times New Roman" w:hAnsi="Times New Roman"/>
                <w:sz w:val="20"/>
              </w:rPr>
              <w:t>Übersicht zur Einfachen und Leichten Sprache</w:t>
            </w:r>
          </w:p>
        </w:tc>
        <w:tc>
          <w:tcPr>
            <w:tcW w:type="dxa" w:w="4536"/>
          </w:tcPr>
          <w:p>
            <w:r>
              <w:rPr>
                <w:rFonts w:ascii="Times New Roman" w:hAnsi="Times New Roman"/>
                <w:sz w:val="20"/>
              </w:rPr>
              <w:t>vorhanden</w:t>
            </w:r>
          </w:p>
        </w:tc>
      </w:tr>
      <w:tr>
        <w:tc>
          <w:tcPr>
            <w:tcW w:type="dxa" w:w="4536"/>
          </w:tcPr>
          <w:p>
            <w:r>
              <w:rPr>
                <w:rFonts w:ascii="Times New Roman" w:hAnsi="Times New Roman"/>
                <w:sz w:val="20"/>
              </w:rPr>
              <w:t>WCAG 2.1 Konformitätsstufe AA</w:t>
            </w:r>
          </w:p>
        </w:tc>
        <w:tc>
          <w:tcPr>
            <w:tcW w:type="dxa" w:w="4536"/>
          </w:tcPr>
          <w:p>
            <w:r>
              <w:rPr>
                <w:rFonts w:ascii="Times New Roman" w:hAnsi="Times New Roman"/>
                <w:sz w:val="20"/>
              </w:rPr>
              <w:t>weitgehend erfüllt; einige PDFs nicht barrierefrei (Nachholarbeit geplant Q3/2026)</w:t>
            </w:r>
          </w:p>
        </w:tc>
      </w:tr>
      <w:tr>
        <w:tc>
          <w:tcPr>
            <w:tcW w:type="dxa" w:w="4536"/>
          </w:tcPr>
          <w:p>
            <w:r>
              <w:rPr>
                <w:rFonts w:ascii="Times New Roman" w:hAnsi="Times New Roman"/>
                <w:sz w:val="20"/>
              </w:rPr>
              <w:t>Untertitel auf Video-Erklärungen</w:t>
            </w:r>
          </w:p>
        </w:tc>
        <w:tc>
          <w:tcPr>
            <w:tcW w:type="dxa" w:w="4536"/>
          </w:tcPr>
          <w:p>
            <w:r>
              <w:rPr>
                <w:rFonts w:ascii="Times New Roman" w:hAnsi="Times New Roman"/>
                <w:sz w:val="20"/>
              </w:rPr>
              <w:t>vorhanden</w:t>
            </w:r>
          </w:p>
        </w:tc>
      </w:tr>
      <w:tr>
        <w:tc>
          <w:tcPr>
            <w:tcW w:type="dxa" w:w="4536"/>
          </w:tcPr>
          <w:p>
            <w:r>
              <w:rPr>
                <w:rFonts w:ascii="Times New Roman" w:hAnsi="Times New Roman"/>
                <w:sz w:val="20"/>
              </w:rPr>
              <w:t>Lesemodus-Schalter</w:t>
            </w:r>
          </w:p>
        </w:tc>
        <w:tc>
          <w:tcPr>
            <w:tcW w:type="dxa" w:w="4536"/>
          </w:tcPr>
          <w:p>
            <w:r>
              <w:rPr>
                <w:rFonts w:ascii="Times New Roman" w:hAnsi="Times New Roman"/>
                <w:sz w:val="20"/>
              </w:rPr>
              <w:t>nicht vorhanden, geplant</w:t>
            </w:r>
          </w:p>
        </w:tc>
      </w:tr>
      <w:tr>
        <w:tc>
          <w:tcPr>
            <w:tcW w:type="dxa" w:w="4536"/>
          </w:tcPr>
          <w:p>
            <w:r>
              <w:rPr>
                <w:rFonts w:ascii="Times New Roman" w:hAnsi="Times New Roman"/>
                <w:sz w:val="20"/>
              </w:rPr>
              <w:t>Vorlese-Funktion (Screen-Reader-Kompatibilität)</w:t>
            </w:r>
          </w:p>
        </w:tc>
        <w:tc>
          <w:tcPr>
            <w:tcW w:type="dxa" w:w="4536"/>
          </w:tcPr>
          <w:p>
            <w:r>
              <w:rPr>
                <w:rFonts w:ascii="Times New Roman" w:hAnsi="Times New Roman"/>
                <w:sz w:val="20"/>
              </w:rPr>
              <w:t>getestet 02/2026 mit NVDA und JAWS, weitgehend funktional</w:t>
            </w:r>
          </w:p>
        </w:tc>
      </w:tr>
    </w:tbl>
    <w:p>
      <w:pPr>
        <w:jc w:val="left"/>
      </w:pPr>
      <w:r>
        <w:t>Die Kanzlei prüft jährlich die Aktualität der Erklärung zur Barrierefreiheit; nächste Prüfung Februar 2027.</w:t>
      </w:r>
    </w:p>
    <w:p/>
    <w:p>
      <w:pPr>
        <w:pStyle w:val="Heading2"/>
      </w:pPr>
      <w:r>
        <w:rPr>
          <w:rFonts w:ascii="Times New Roman" w:hAnsi="Times New Roman"/>
        </w:rPr>
        <w:t>5. Hinweise für die Akte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Status in dieser Akte</w:t>
            </w:r>
          </w:p>
        </w:tc>
      </w:tr>
      <w:tr>
        <w:tc>
          <w:tcPr>
            <w:tcW w:type="dxa" w:w="4536"/>
          </w:tcPr>
          <w:p>
            <w:r>
              <w:rPr>
                <w:rFonts w:ascii="Times New Roman" w:hAnsi="Times New Roman"/>
                <w:sz w:val="20"/>
              </w:rPr>
              <w:t>Standardbrief vollständig und juristisch korrekt</w:t>
            </w:r>
          </w:p>
        </w:tc>
        <w:tc>
          <w:tcPr>
            <w:tcW w:type="dxa" w:w="4536"/>
          </w:tcPr>
          <w:p>
            <w:r>
              <w:rPr>
                <w:rFonts w:ascii="Times New Roman" w:hAnsi="Times New Roman"/>
                <w:sz w:val="20"/>
              </w:rPr>
              <w:t>ja (Brief 1, 2, 3)</w:t>
            </w:r>
          </w:p>
        </w:tc>
      </w:tr>
      <w:tr>
        <w:tc>
          <w:tcPr>
            <w:tcW w:type="dxa" w:w="4536"/>
          </w:tcPr>
          <w:p>
            <w:r>
              <w:rPr>
                <w:rFonts w:ascii="Times New Roman" w:hAnsi="Times New Roman"/>
                <w:sz w:val="20"/>
              </w:rPr>
              <w:t>Einfache-Sprache-Fassung verfügbar</w:t>
            </w:r>
          </w:p>
        </w:tc>
        <w:tc>
          <w:tcPr>
            <w:tcW w:type="dxa" w:w="4536"/>
          </w:tcPr>
          <w:p>
            <w:r>
              <w:rPr>
                <w:rFonts w:ascii="Times New Roman" w:hAnsi="Times New Roman"/>
                <w:sz w:val="20"/>
              </w:rPr>
              <w:t>ja (Brief 1, 2, 3)</w:t>
            </w:r>
          </w:p>
        </w:tc>
      </w:tr>
      <w:tr>
        <w:tc>
          <w:tcPr>
            <w:tcW w:type="dxa" w:w="4536"/>
          </w:tcPr>
          <w:p>
            <w:r>
              <w:rPr>
                <w:rFonts w:ascii="Times New Roman" w:hAnsi="Times New Roman"/>
                <w:sz w:val="20"/>
              </w:rPr>
              <w:t>Leichte-Sprache-Fassung verfügbar</w:t>
            </w:r>
          </w:p>
        </w:tc>
        <w:tc>
          <w:tcPr>
            <w:tcW w:type="dxa" w:w="4536"/>
          </w:tcPr>
          <w:p>
            <w:r>
              <w:rPr>
                <w:rFonts w:ascii="Times New Roman" w:hAnsi="Times New Roman"/>
                <w:sz w:val="20"/>
              </w:rPr>
              <w:t>ja (Brief 1, 2, 3 -- jeweils als Entwurf)</w:t>
            </w:r>
          </w:p>
        </w:tc>
      </w:tr>
      <w:tr>
        <w:tc>
          <w:tcPr>
            <w:tcW w:type="dxa" w:w="4536"/>
          </w:tcPr>
          <w:p>
            <w:r>
              <w:rPr>
                <w:rFonts w:ascii="Times New Roman" w:hAnsi="Times New Roman"/>
                <w:sz w:val="20"/>
              </w:rPr>
              <w:t>Zielgruppenprüfung Leichte Sprache erfolgt</w:t>
            </w:r>
          </w:p>
        </w:tc>
        <w:tc>
          <w:tcPr>
            <w:tcW w:type="dxa" w:w="4536"/>
          </w:tcPr>
          <w:p>
            <w:r>
              <w:rPr>
                <w:rFonts w:ascii="Times New Roman" w:hAnsi="Times New Roman"/>
                <w:sz w:val="20"/>
              </w:rPr>
              <w:t>NEIN -- ausdrücklich offen</w:t>
            </w:r>
          </w:p>
        </w:tc>
      </w:tr>
      <w:tr>
        <w:tc>
          <w:tcPr>
            <w:tcW w:type="dxa" w:w="4536"/>
          </w:tcPr>
          <w:p>
            <w:r>
              <w:rPr>
                <w:rFonts w:ascii="Times New Roman" w:hAnsi="Times New Roman"/>
                <w:sz w:val="20"/>
              </w:rPr>
              <w:t>Glossar verfügbar</w:t>
            </w:r>
          </w:p>
        </w:tc>
        <w:tc>
          <w:tcPr>
            <w:tcW w:type="dxa" w:w="4536"/>
          </w:tcPr>
          <w:p>
            <w:r>
              <w:rPr>
                <w:rFonts w:ascii="Times New Roman" w:hAnsi="Times New Roman"/>
                <w:sz w:val="20"/>
              </w:rPr>
              <w:t>ja (Datei 04)</w:t>
            </w:r>
          </w:p>
        </w:tc>
      </w:tr>
      <w:tr>
        <w:tc>
          <w:tcPr>
            <w:tcW w:type="dxa" w:w="4536"/>
          </w:tcPr>
          <w:p>
            <w:r>
              <w:rPr>
                <w:rFonts w:ascii="Times New Roman" w:hAnsi="Times New Roman"/>
                <w:sz w:val="20"/>
              </w:rPr>
              <w:t>Vergleichsdokument verfügbar</w:t>
            </w:r>
          </w:p>
        </w:tc>
        <w:tc>
          <w:tcPr>
            <w:tcW w:type="dxa" w:w="4536"/>
          </w:tcPr>
          <w:p>
            <w:r>
              <w:rPr>
                <w:rFonts w:ascii="Times New Roman" w:hAnsi="Times New Roman"/>
                <w:sz w:val="20"/>
              </w:rPr>
              <w:t>ja (Datei 07 zu Brief 1, Datei 11 zu Brief 2)</w:t>
            </w:r>
          </w:p>
        </w:tc>
      </w:tr>
      <w:tr>
        <w:tc>
          <w:tcPr>
            <w:tcW w:type="dxa" w:w="4536"/>
          </w:tcPr>
          <w:p>
            <w:r>
              <w:rPr>
                <w:rFonts w:ascii="Times New Roman" w:hAnsi="Times New Roman"/>
                <w:sz w:val="20"/>
              </w:rPr>
              <w:t>BITV-Hinweis verfügbar</w:t>
            </w:r>
          </w:p>
        </w:tc>
        <w:tc>
          <w:tcPr>
            <w:tcW w:type="dxa" w:w="4536"/>
          </w:tcPr>
          <w:p>
            <w:r>
              <w:rPr>
                <w:rFonts w:ascii="Times New Roman" w:hAnsi="Times New Roman"/>
                <w:sz w:val="20"/>
              </w:rPr>
              <w:t>ja (dieses Dokument)</w:t>
            </w:r>
          </w:p>
        </w:tc>
      </w:tr>
      <w:tr>
        <w:tc>
          <w:tcPr>
            <w:tcW w:type="dxa" w:w="4536"/>
          </w:tcPr>
          <w:p>
            <w:r>
              <w:rPr>
                <w:rFonts w:ascii="Times New Roman" w:hAnsi="Times New Roman"/>
                <w:sz w:val="20"/>
              </w:rPr>
              <w:t>Mandantin / Betreuerin erhalten beide Fassungen</w:t>
            </w:r>
          </w:p>
        </w:tc>
        <w:tc>
          <w:tcPr>
            <w:tcW w:type="dxa" w:w="4536"/>
          </w:tcPr>
          <w:p>
            <w:r>
              <w:rPr>
                <w:rFonts w:ascii="Times New Roman" w:hAnsi="Times New Roman"/>
                <w:sz w:val="20"/>
              </w:rPr>
              <w:t>grundsätzlich ja; Standardbrief für Akte, Einfache-Sprache-Fassung für selbstständige Lektüre, Leichte-Sprache-Fassung als Unterstützung</w:t>
            </w:r>
          </w:p>
        </w:tc>
      </w:tr>
    </w:tbl>
    <w:p/>
    <w:p>
      <w:pPr>
        <w:pStyle w:val="Heading2"/>
      </w:pPr>
      <w:r>
        <w:rPr>
          <w:rFonts w:ascii="Times New Roman" w:hAnsi="Times New Roman"/>
        </w:rPr>
        <w:t>6. Risiken und Grenzen</w:t>
      </w:r>
    </w:p>
    <w:p>
      <w:pPr>
        <w:pStyle w:val="ListNumber"/>
      </w:pPr>
      <w:r>
        <w:rPr>
          <w:b/>
        </w:rPr>
        <w:t>Informationsverlust:</w:t>
      </w:r>
      <w:r>
        <w:t xml:space="preserve"> Jede Vereinfachung verringert die juristische Substanz. Anwältin muss bei Folgegespräch differenziert nachfassen.</w:t>
      </w:r>
    </w:p>
    <w:p>
      <w:pPr>
        <w:pStyle w:val="ListNumber"/>
      </w:pPr>
      <w:r>
        <w:rPr>
          <w:b/>
        </w:rPr>
        <w:t>Falsche Sicherheit:</w:t>
      </w:r>
      <w:r>
        <w:t xml:space="preserve"> Eine Mandantin, die nur die Leichte-Sprache-Fassung liest, könnte fälschlich annehmen, sie habe den Brief vollständig verstanden. Erfahrungswert: 30 -- 50 % der Informationen aus dem Standardbrief bleiben in der Leichte-Sprache-Fassung enthalten.</w:t>
      </w:r>
    </w:p>
    <w:p>
      <w:pPr>
        <w:pStyle w:val="ListNumber"/>
      </w:pPr>
      <w:r>
        <w:rPr>
          <w:b/>
        </w:rPr>
        <w:t>Verantwortung:</w:t>
      </w:r>
      <w:r>
        <w:t xml:space="preserve"> Die Verantwortung für das Verstehen einer Information liegt nicht ausschließlich beim Anwalt, sondern auch bei der Betreuerin (§ 1814 BGB). Diese muss sicherstellen, dass die betreute Person die wesentlichen Informationen erfasst.</w:t>
      </w:r>
    </w:p>
    <w:p>
      <w:pPr>
        <w:pStyle w:val="ListNumber"/>
      </w:pPr>
      <w:r>
        <w:rPr>
          <w:b/>
        </w:rPr>
        <w:t>Haftung:</w:t>
      </w:r>
      <w:r>
        <w:t xml:space="preserve"> Auf der Standardbrief-Ebene gelten die anwaltlichen Beratungspflichten unverändert. Die Vereinfachung in Einfacher oder Leichter Sprache kann die Standardpflichten nicht reduzieren.</w:t>
      </w:r>
    </w:p>
    <w:p>
      <w:pPr>
        <w:pStyle w:val="ListNumber"/>
      </w:pPr>
      <w:r>
        <w:rPr>
          <w:b/>
        </w:rPr>
        <w:t>Datenschutz:</w:t>
      </w:r>
      <w:r>
        <w:t xml:space="preserve"> Bei Übersendung an externe Prüfer für die Zielgruppenprüfung sind Mandanteninformationen zu anonymisieren (§ 43a BRAO, § 203 StGB).</w:t>
      </w:r>
    </w:p>
    <w:p/>
    <w:p>
      <w:pPr>
        <w:pStyle w:val="Heading2"/>
      </w:pPr>
      <w:r>
        <w:rPr>
          <w:rFonts w:ascii="Times New Roman" w:hAnsi="Times New Roman"/>
        </w:rPr>
        <w:t>7. Literatur und weiterführende Hinweise (extern, hier nur als Hinweis ohne Verifikation)</w:t>
      </w:r>
    </w:p>
    <w:p>
      <w:pPr>
        <w:jc w:val="left"/>
      </w:pPr>
      <w:r>
        <w:t>Die Kanzlei verweist auf externe Quellen für die Vertiefung; die Aktualität ist bei Beratungssituationen vor Ort zu prüfen:</w:t>
      </w:r>
    </w:p>
    <w:p>
      <w:pPr>
        <w:pStyle w:val="ListBullet"/>
      </w:pPr>
      <w:r>
        <w:t>DIN SPEC 33429 -- offizielle Veröffentlichung beim Beuth Verlag (kostenpflichtig).</w:t>
      </w:r>
    </w:p>
    <w:p>
      <w:pPr>
        <w:pStyle w:val="ListBullet"/>
      </w:pPr>
      <w:r>
        <w:t>Netzwerk Leichte Sprache -- Regelwerk online frei verfügbar.</w:t>
      </w:r>
    </w:p>
    <w:p>
      <w:pPr>
        <w:pStyle w:val="ListBullet"/>
      </w:pPr>
      <w:r>
        <w:t>BMAS-Veröffentlichungen zur Leichten Sprache und BGG.</w:t>
      </w:r>
    </w:p>
    <w:p>
      <w:pPr>
        <w:pStyle w:val="ListBullet"/>
      </w:pPr>
      <w:r>
        <w:t>Materialien der Bundesfachstelle für Barrierefreiheit.</w:t>
      </w:r>
    </w:p>
    <w:p>
      <w:pPr>
        <w:jc w:val="left"/>
      </w:pPr>
      <w:r>
        <w:t xml:space="preserve">(Konkrete Online-Zitierungen sind in dieser Akte nicht hinterlegt; bei einer realen Mandantenbearbeitung würden die Quellen nach den Vorgaben in </w:t>
      </w:r>
      <w:r>
        <w:t>references/zitierweise.md</w:t>
      </w:r>
      <w:r>
        <w:t xml:space="preserve"> belegt.)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