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Einigungsvertrag und Vermögenszuordnung Lindenau soll nicht nur ein Schlagwort geprüft werden. Zu klären ist, welche Anspruchs-, Befugnis-, Verfahrens- und Nachweisfragen aus Einigungsvertrag, VermG, VZOG, SachenRBerG, GBO und grundbuchrechtliche Nachweislogik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Mauergrundstück, Treuhand-Nachfolge, alte Rechtsträger, Bodenreform-Spuren und widersprüchliche Katasterunterlagen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Einigungsvertrag, VermG, VZOG, SachenRBerG, GBO und grundbuchrechtliche Nachweislogik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