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Familien- und Vermögenslage des Mandanten</w:t>
      </w:r>
    </w:p>
    <w:p>
      <w:pPr>
        <w:pStyle w:val="Heading2"/>
      </w:pPr>
      <w:r>
        <w:rPr>
          <w:rFonts w:ascii="Times New Roman" w:hAnsi="Times New Roman"/>
        </w:rPr>
        <w:t>1 Persönliche Verhältnisse</w:t>
      </w:r>
    </w:p>
    <w:p>
      <w:pPr>
        <w:jc w:val="left"/>
      </w:pPr>
      <w:r>
        <w:t>Der Mandant Markus Reinhold ist verheiratet mit Sabine Reinhold, geborene Köster, geboren am 02.11.1976. Sie ist als Erzieherin in Teilzeit beschäftigt. Die Eheleute haben zwei Kinder: Lennart, geboren am 15.09.2008, Schüler, und Frieda, geboren am 22.04.2012, Schülerin. Beide Kinder leben im Haushalt der Eheleute und befinden sich in Ausbildung. Es bestehen vorrangige Unterhaltspflichten gegenüber den beiden minderjährigen Kindern und gegenüber der Ehefrau.</w:t>
      </w:r>
    </w:p>
    <w:p>
      <w:pPr>
        <w:pStyle w:val="Heading2"/>
      </w:pPr>
      <w:r>
        <w:rPr>
          <w:rFonts w:ascii="Times New Roman" w:hAnsi="Times New Roman"/>
        </w:rPr>
        <w:t>2 Wohnsituation</w:t>
      </w:r>
    </w:p>
    <w:p>
      <w:pPr>
        <w:jc w:val="left"/>
      </w:pPr>
      <w:r>
        <w:t>Die Familie bewohnt ein Einfamilienhaus in der Lousberger Straße 17, 52066 Aachen, das den Eheleuten je zur Hälfte gehört. Das Haus ist mit einem Darlehen belastet, das mit monatlich 1.180 EUR (Zins und Tilgung) bedient wird. Der Verkehrswert wird vom Mandanten mit rund 540.000 EUR angegeben; die Restschuld beträgt zum 31.12.2025 rund 196.000 EUR.</w:t>
      </w:r>
    </w:p>
    <w:p>
      <w:pPr>
        <w:pStyle w:val="Heading2"/>
      </w:pPr>
      <w:r>
        <w:rPr>
          <w:rFonts w:ascii="Times New Roman" w:hAnsi="Times New Roman"/>
        </w:rPr>
        <w:t>3 Vermögensübersicht des Mandanten</w:t>
      </w:r>
    </w:p>
    <w:p>
      <w:pPr>
        <w:jc w:val="left"/>
      </w:pPr>
      <w:r>
        <w:t>Der Mandant hat folgende Vermögenswerte angegeben. Die Werte sind in der Tabelle csv/vermoegensuebersicht_markus_reinhold.csv im Einzelnen aufgeführt.</w:t>
      </w:r>
    </w:p>
    <w:p>
      <w:pPr>
        <w:jc w:val="left"/>
      </w:pPr>
      <w:r>
        <w:t>3.1 Hälftiger Miteigentumsanteil am selbst bewohnten Einfamilienhaus, anteiliger Verkehrswert rund 270.000 EUR, anteilige Restschuld rund 98.000 EUR.</w:t>
      </w:r>
    </w:p>
    <w:p>
      <w:pPr>
        <w:jc w:val="left"/>
      </w:pPr>
      <w:r>
        <w:t>3.2 Girokonto und Tagesgeld mit zusammen rund 24.500 EUR.</w:t>
      </w:r>
    </w:p>
    <w:p>
      <w:pPr>
        <w:jc w:val="left"/>
      </w:pPr>
      <w:r>
        <w:t>3.3 Bausparvertrag mit einem Guthaben von rund 11.800 EUR.</w:t>
      </w:r>
    </w:p>
    <w:p>
      <w:pPr>
        <w:jc w:val="left"/>
      </w:pPr>
      <w:r>
        <w:t>3.4 Eine private Rentenversicherung mit einem Rückkaufswert von rund 41.000 EUR, die der Mandant als ergänzende Altersvorsorge bespart.</w:t>
      </w:r>
    </w:p>
    <w:p>
      <w:pPr>
        <w:jc w:val="left"/>
      </w:pPr>
      <w:r>
        <w:t>3.5 Ein Pkw, Baujahr 2021, Zeitwert rund 18.000 EUR.</w:t>
      </w:r>
    </w:p>
    <w:p>
      <w:pPr>
        <w:pStyle w:val="Heading2"/>
      </w:pPr>
      <w:r>
        <w:rPr>
          <w:rFonts w:ascii="Times New Roman" w:hAnsi="Times New Roman"/>
        </w:rPr>
        <w:t>4 Laufende Verpflichtungen</w:t>
      </w:r>
    </w:p>
    <w:p>
      <w:pPr>
        <w:jc w:val="left"/>
      </w:pPr>
      <w:r>
        <w:t>Neben der Darlehensrate für das Eigenheim trägt der Mandant Beiträge zu einer Berufsunfähigkeitsversicherung von monatlich 92 EUR sowie zu der privaten Rentenversicherung von monatlich 320 EUR. Hinzu treten die üblichen Lebenshaltungskosten der vierköpfigen Familie.</w:t>
      </w:r>
    </w:p>
    <w:p>
      <w:pPr>
        <w:pStyle w:val="Heading2"/>
      </w:pPr>
      <w:r>
        <w:rPr>
          <w:rFonts w:ascii="Times New Roman" w:hAnsi="Times New Roman"/>
        </w:rPr>
        <w:t>5 Bedeutung für die Prüfung</w:t>
      </w:r>
    </w:p>
    <w:p>
      <w:pPr>
        <w:jc w:val="left"/>
      </w:pPr>
      <w:r>
        <w:t>Die Vermögenslage ist erst relevant, wenn die Schwellenprüfung nach dem Angehörigen-Entlastungsgesetz den Rückgriff überhaupt eröffnet. Sie ist außerdem für Schonvermögen und Altersvorsorge bedeutsam; dazu Aktenstück 07. Die vorrangigen Unterhaltspflichten gegenüber Ehefrau und Kindern mindern die Leistungsfähigkeit gegenüber der Mutter; dazu Aktenstück 10.</w:t>
      </w:r>
    </w:p>
    <w:p>
      <w:pPr>
        <w:pStyle w:val="Heading2"/>
      </w:pPr>
      <w:r>
        <w:rPr>
          <w:rFonts w:ascii="Times New Roman" w:hAnsi="Times New Roman"/>
        </w:rPr>
        <w:t>6 Quellen und Belege</w:t>
      </w:r>
    </w:p>
    <w:p>
      <w:pPr>
        <w:jc w:val="left"/>
      </w:pPr>
      <w:r>
        <w:t>Quellenpflicht nach references/zitierweise.md. Grundlage sind die Angaben des Mandanten im Erstgespräch vom 19.01.2026, der Grundbuchauszug, der Darlehensvertrag und die Versicherungsunterlagen, die jeweils in Kopie vorliegen.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