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Geschwister und anteilige Haftung nach Paragraf 1606 Absatz 3 Satz 1 BGB</w:t>
      </w:r>
    </w:p>
    <w:p>
      <w:pPr>
        <w:pStyle w:val="Heading2"/>
      </w:pPr>
      <w:r>
        <w:rPr>
          <w:rFonts w:ascii="Times New Roman" w:hAnsi="Times New Roman"/>
        </w:rPr>
        <w:t>1 Die Schwester Carola Vennhoff</w:t>
      </w:r>
    </w:p>
    <w:p>
      <w:pPr>
        <w:jc w:val="left"/>
      </w:pPr>
      <w:r>
        <w:t>Hildegard Reinhold hat zwei Kinder: den Mandanten Markus Reinhold und dessen Schwester Carola Vennhoff, geboren am 11.06.1976, wohnhaft Wirtelstraße 9, 52349 Düren. Carola Vennhoff ist verheiratet, hat ein Kind und arbeitet nach eigenen Angaben in Teilzeit als medizinisch-technische Assistentin.</w:t>
      </w:r>
    </w:p>
    <w:p>
      <w:pPr>
        <w:pStyle w:val="Heading2"/>
      </w:pPr>
      <w:r>
        <w:rPr>
          <w:rFonts w:ascii="Times New Roman" w:hAnsi="Times New Roman"/>
        </w:rPr>
        <w:t>2 Grundsatz der anteiligen Haftung</w:t>
      </w:r>
    </w:p>
    <w:p>
      <w:pPr>
        <w:jc w:val="left"/>
      </w:pPr>
      <w:r>
        <w:t>Mehrere gleich nahe Verwandte haften nach § 1606 Abs. 3 Satz 1 BGB für den Unterhalt anteilig nach ihren Erwerbs- und Vermögensverhältnissen. Es liegt also keine gesamtschuldnerische Haftung vor; jedes Kind schuldet nur den auf es entfallenden Anteil. Das Sozialamt kann den Mandanten daher nicht für den gesamten ungedeckten Bedarf in Anspruch nehmen, soweit die Schwester ebenfalls leistungsfähig ist.</w:t>
      </w:r>
    </w:p>
    <w:p>
      <w:pPr>
        <w:pStyle w:val="Heading2"/>
      </w:pPr>
      <w:r>
        <w:rPr>
          <w:rFonts w:ascii="Times New Roman" w:hAnsi="Times New Roman"/>
        </w:rPr>
        <w:t>3 Wirkung der Einkommensgrenze auf die Verteilung</w:t>
      </w:r>
    </w:p>
    <w:p>
      <w:pPr>
        <w:jc w:val="left"/>
      </w:pPr>
      <w:r>
        <w:t>Durch das Angehörigen-Entlastungsgesetz wird die Verteilung überlagert. Ein Kind, dessen Jahresgesamteinkommen 100.000 EUR nicht übersteigt, kann nicht herangezogen werden; ein etwaiger Anspruch geht insoweit nicht auf das Sozialamt über. Liegt nur eines von zwei Kindern über der Grenze, kommt für die Verteilung im Verhältnis der Geschwister allein das Kind oberhalb der Grenze in Betracht. Ob in einem solchen Fall der Anteil des unter der Grenze liegenden Kindes auf das andere Kind verlagert wird oder beim Sozialhilfeträger verbleibt, ist umstritten und vor abschließender Verwendung an amtlicher Quelle zu verifizieren.</w:t>
      </w:r>
    </w:p>
    <w:p>
      <w:pPr>
        <w:pStyle w:val="Heading2"/>
      </w:pPr>
      <w:r>
        <w:rPr>
          <w:rFonts w:ascii="Times New Roman" w:hAnsi="Times New Roman"/>
        </w:rPr>
        <w:t>4 Einkommen der Schwester nach derzeitigem Stand</w:t>
      </w:r>
    </w:p>
    <w:p>
      <w:pPr>
        <w:jc w:val="left"/>
      </w:pPr>
      <w:r>
        <w:t>Carola Vennhoff hat dem Mandanten gegenüber angegeben, in Teilzeit zu arbeiten und ein Jahresbruttoeinkommen von rund 38.000 EUR zu erzielen. Träfe dies zu, läge sie deutlich unterhalb der Grenze von 100.000 EUR, und ein Rückgriff gegen sie schiede aus. Eine verbindliche Auskunft der Schwester gegenüber dem Sozialamt liegt noch nicht vor; die Angaben sind bislang nicht belegt.</w:t>
      </w:r>
    </w:p>
    <w:p>
      <w:pPr>
        <w:pStyle w:val="Heading2"/>
      </w:pPr>
      <w:r>
        <w:rPr>
          <w:rFonts w:ascii="Times New Roman" w:hAnsi="Times New Roman"/>
        </w:rPr>
        <w:t>5 Folgen für den Mandanten</w:t>
      </w:r>
    </w:p>
    <w:p>
      <w:pPr>
        <w:jc w:val="left"/>
      </w:pPr>
      <w:r>
        <w:t>Sollte sich bestätigen, dass nur der Mandant die Einkommensgrenze überschreitet, trägt im Innenverhältnis der Geschwister im Ergebnis allein er die Haftung, soweit sie reicht. Eine quotale Entlastung durch die Schwester scheidet dann aus. Es ist deshalb von vorrangiger Bedeutung, die Einkommensverhältnisse der Schwester zu klären, weil sie unmittelbar die Höhe der Inanspruchnahme des Mandanten bestimmen.</w:t>
      </w:r>
    </w:p>
    <w:p>
      <w:pPr>
        <w:pStyle w:val="Heading2"/>
      </w:pPr>
      <w:r>
        <w:rPr>
          <w:rFonts w:ascii="Times New Roman" w:hAnsi="Times New Roman"/>
        </w:rPr>
        <w:t>6 Quellen und Belege</w:t>
      </w:r>
    </w:p>
    <w:p>
      <w:pPr>
        <w:jc w:val="left"/>
      </w:pPr>
      <w:r>
        <w:t>Quellenpflicht nach references/zitierweise.md. Grundlage sind die Angaben des Mandanten und seiner Schwester. Belege zum Einkommen der Schwester liegen noch nicht vor. Normbezug: § 1606 Abs. 3 Satz 1 BGB, Angehörigen-Entlastungsgesetz, § 94 SGB XII.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