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Schonvermögen und Altersvorsorge</w:t>
      </w:r>
    </w:p>
    <w:p>
      <w:pPr>
        <w:pStyle w:val="Heading2"/>
      </w:pPr>
      <w:r>
        <w:rPr>
          <w:rFonts w:ascii="Times New Roman" w:hAnsi="Times New Roman"/>
        </w:rPr>
        <w:t>1 Grundsatz</w:t>
      </w:r>
    </w:p>
    <w:p>
      <w:pPr>
        <w:jc w:val="left"/>
      </w:pPr>
      <w:r>
        <w:t>Ein unterhaltspflichtiges Kind muss für den Elternunterhalt nicht sein gesamtes Vermögen einsetzen. Geschützt sind insbesondere das angemessen selbst genutzte Eigenheim, eine angemessene zusätzliche Altersvorsorge sowie ein Notgroschen für unvorhergesehene Ausgaben. Der Einsatz des Vermögensstamms kommt nur in Betracht, soweit er nicht zu diesen geschützten Positionen gehört und seine Verwertung zumutbar ist.</w:t>
      </w:r>
    </w:p>
    <w:p>
      <w:pPr>
        <w:pStyle w:val="Heading2"/>
      </w:pPr>
      <w:r>
        <w:rPr>
          <w:rFonts w:ascii="Times New Roman" w:hAnsi="Times New Roman"/>
        </w:rPr>
        <w:t>2 Eigenheim</w:t>
      </w:r>
    </w:p>
    <w:p>
      <w:pPr>
        <w:jc w:val="left"/>
      </w:pPr>
      <w:r>
        <w:t>Der hälftige Miteigentumsanteil des Mandanten am selbst bewohnten Einfamilienhaus ist als angemessenes selbst genutztes Wohneigentum geschützt. Es muss zur Deckung des Elternunterhalts nicht verwertet werden, solange die Familie es bewohnt und der Wohnwert nicht unangemessen ist.</w:t>
      </w:r>
    </w:p>
    <w:p>
      <w:pPr>
        <w:pStyle w:val="Heading2"/>
      </w:pPr>
      <w:r>
        <w:rPr>
          <w:rFonts w:ascii="Times New Roman" w:hAnsi="Times New Roman"/>
        </w:rPr>
        <w:t>3 Altersvorsorge</w:t>
      </w:r>
    </w:p>
    <w:p>
      <w:pPr>
        <w:jc w:val="left"/>
      </w:pPr>
      <w:r>
        <w:t>3.1 Der Mandant ist gesetzlich rentenversichert. Daneben bespart er eine private Rentenversicherung mit monatlich 320 EUR; der Rückkaufswert beträgt rund 41.000 EUR.</w:t>
      </w:r>
    </w:p>
    <w:p>
      <w:pPr>
        <w:jc w:val="left"/>
      </w:pPr>
      <w:r>
        <w:t>3.2 Beim Elternunterhalt wird einem Arbeitnehmer eine zusätzliche Altersvorsorge zugestanden, die in der Praxis mit einem Anteil von etwa fünf Prozent des Bruttoeinkommens als angemessen angesetzt wird. Bezogen auf das Jahresbrutto des Mandanten von rund 112.000 EUR entspricht das einem geschützten Vorsorgeaufwand in der Größenordnung von rund 5.600 EUR im Jahr. Der hieraus aufgebaute Kapitalstock und der Rückkaufswert der privaten Rentenversicherung sind in diesem Rahmen als Schonvermögen zu behandeln. Der genaue Prozentsatz und die Berechnungsweise sind als Arbeitswert vor Verwendung an amtlicher Quelle zu verifizieren.</w:t>
      </w:r>
    </w:p>
    <w:p>
      <w:pPr>
        <w:pStyle w:val="Heading2"/>
      </w:pPr>
      <w:r>
        <w:rPr>
          <w:rFonts w:ascii="Times New Roman" w:hAnsi="Times New Roman"/>
        </w:rPr>
        <w:t>4 Notgroschen und sonstiges Vermögen</w:t>
      </w:r>
    </w:p>
    <w:p>
      <w:pPr>
        <w:jc w:val="left"/>
      </w:pPr>
      <w:r>
        <w:t>Die Bankguthaben und das Bausparguthaben sind teilweise als Notgroschen geschützt. Der über den geschützten Rahmen hinausgehende Teil des liquiden Vermögens kann grundsätzlich für den Unterhalt herangezogen werden; angesichts der vorrangigen Familienlasten und der ohnehin begrenzten Inanspruchnahme dürfte ihm hier nur untergeordnete Bedeutung zukommen.</w:t>
      </w:r>
    </w:p>
    <w:p>
      <w:pPr>
        <w:pStyle w:val="Heading2"/>
      </w:pPr>
      <w:r>
        <w:rPr>
          <w:rFonts w:ascii="Times New Roman" w:hAnsi="Times New Roman"/>
        </w:rPr>
        <w:t>5 Folge</w:t>
      </w:r>
    </w:p>
    <w:p>
      <w:pPr>
        <w:jc w:val="left"/>
      </w:pPr>
      <w:r>
        <w:t>Im Ergebnis ist davon auszugehen, dass der Mandant seinen Vermögensstamm nur in geringem Umfang einsetzen muss. Die Inanspruchnahme richtet sich vor allem nach dem einzusetzenden Einkommen; dazu Aktenstück 10.</w:t>
      </w:r>
    </w:p>
    <w:p>
      <w:pPr>
        <w:pStyle w:val="Heading2"/>
      </w:pPr>
      <w:r>
        <w:rPr>
          <w:rFonts w:ascii="Times New Roman" w:hAnsi="Times New Roman"/>
        </w:rPr>
        <w:t>6 Quellen und Belege</w:t>
      </w:r>
    </w:p>
    <w:p>
      <w:pPr>
        <w:jc w:val="left"/>
      </w:pPr>
      <w:r>
        <w:t>Quellenpflicht nach references/zitierweise.md. Grundlage sind der Grundbuchauszug, der Versicherungsschein der privaten Rentenversicherung und die Kontoauszüge, die jeweils in Kopie vorliegen. Der Prozentsatz für die zusätzliche Altersvorsorge ist ein Arbeitswert und vor Verwendung an amtlicher Quelle zu verifizieren.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