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Berechnung des einzusetzenden Einkommens</w:t>
      </w:r>
    </w:p>
    <w:p>
      <w:pPr>
        <w:pStyle w:val="Heading2"/>
      </w:pPr>
      <w:r>
        <w:rPr>
          <w:rFonts w:ascii="Times New Roman" w:hAnsi="Times New Roman"/>
        </w:rPr>
        <w:t>1 Ausgangsgröße</w:t>
      </w:r>
    </w:p>
    <w:p>
      <w:pPr>
        <w:jc w:val="left"/>
      </w:pPr>
      <w:r>
        <w:t>Grundlage ist nicht das Jahresbrutto von rund 112.000 EUR, sondern das hieraus folgende bereinigte monatliche Nettoeinkommen. Die folgende Rechnung ist eine Arbeitsrechnung; die Selbstbehaltssätze und die Behandlung des die Grenze überschreitenden Falls sind vor Verwendung an amtlicher Quelle zu verifizieren.</w:t>
      </w:r>
    </w:p>
    <w:p>
      <w:pPr>
        <w:pStyle w:val="Heading2"/>
      </w:pPr>
      <w:r>
        <w:rPr>
          <w:rFonts w:ascii="Times New Roman" w:hAnsi="Times New Roman"/>
        </w:rPr>
        <w:t>2 Vom Brutto zum bereinigten Netto</w:t>
      </w:r>
    </w:p>
    <w:p>
      <w:pPr>
        <w:jc w:val="left"/>
      </w:pPr>
      <w:r>
        <w:t>2.1 Aus dem Bruttojahreseinkommen von rund 112.280 EUR ergibt sich nach Steuern und Sozialabgaben ein monatliches Nettoeinkommen von rund 5.950 EUR. Der geldwerte Vorteil des Dienstwagens ist darin enthalten.</w:t>
      </w:r>
    </w:p>
    <w:p>
      <w:pPr>
        <w:jc w:val="left"/>
      </w:pPr>
      <w:r>
        <w:t>2.2 Hiervon sind abzuziehen die berücksichtigungsfähige zusätzliche Altersvorsorge von rund 320 EUR und die Berufsunfähigkeitsversicherung von 92 EUR.</w:t>
      </w:r>
    </w:p>
    <w:p>
      <w:pPr>
        <w:jc w:val="left"/>
      </w:pPr>
      <w:r>
        <w:t>2.3 Das bereinigte Nettoeinkommen beträgt damit rund 5.538 EUR im Monat.</w:t>
      </w:r>
    </w:p>
    <w:p>
      <w:pPr>
        <w:pStyle w:val="Heading2"/>
      </w:pPr>
      <w:r>
        <w:rPr>
          <w:rFonts w:ascii="Times New Roman" w:hAnsi="Times New Roman"/>
        </w:rPr>
        <w:t>3 Vorrangige Unterhaltspflichten</w:t>
      </w:r>
    </w:p>
    <w:p>
      <w:pPr>
        <w:jc w:val="left"/>
      </w:pPr>
      <w:r>
        <w:t>3.1 Gegenüber den beiden minderjährigen Kindern Lennart und Frieda bestehen vorrangige Barunterhaltspflichten. Angesetzt werden nach der für 2026 maßgeblichen Tabelle und Einkommensgruppe Zahlbeträge von zusammen rund 1.180 EUR im Monat.</w:t>
      </w:r>
    </w:p>
    <w:p>
      <w:pPr>
        <w:jc w:val="left"/>
      </w:pPr>
      <w:r>
        <w:t>3.2 Gegenüber der teilzeitbeschäftigten Ehefrau besteht ein vorrangiger Familienunterhalt. Dieser wird im Rahmen des Familienselbstbehalts berücksichtigt; dazu Aktenstück 06.</w:t>
      </w:r>
    </w:p>
    <w:p>
      <w:pPr>
        <w:pStyle w:val="Heading2"/>
      </w:pPr>
      <w:r>
        <w:rPr>
          <w:rFonts w:ascii="Times New Roman" w:hAnsi="Times New Roman"/>
        </w:rPr>
        <w:t>4 Selbstbehalt</w:t>
      </w:r>
    </w:p>
    <w:p>
      <w:pPr>
        <w:jc w:val="left"/>
      </w:pPr>
      <w:r>
        <w:t>Der Familienselbstbehalt der Eheleute wird als Arbeitswert mit rund 4.800 EUR im Monat angesetzt. Nach Abzug des vorrangigen Kindesunterhalts von rund 1.180 EUR vom bereinigten Nettoeinkommen von rund 5.538 EUR verbleiben rund 4.358 EUR. Dieser Betrag liegt bereits unterhalb des angesetzten Familienselbstbehalts von rund 4.800 EUR.</w:t>
      </w:r>
    </w:p>
    <w:p>
      <w:pPr>
        <w:pStyle w:val="Heading2"/>
      </w:pPr>
      <w:r>
        <w:rPr>
          <w:rFonts w:ascii="Times New Roman" w:hAnsi="Times New Roman"/>
        </w:rPr>
        <w:t>5 Einzusetzendes Einkommen</w:t>
      </w:r>
    </w:p>
    <w:p>
      <w:pPr>
        <w:jc w:val="left"/>
      </w:pPr>
      <w:r>
        <w:t>5.1 Nach der Arbeitsrechnung verbleibt nach Abzug des vorrangigen Kindesunterhalts kein Betrag, der den angesetzten Familienselbstbehalt übersteigt. Daraus folgt nach diesem Rechenweg ein einzusetzendes Einkommen von rund 0 EUR und damit eine sehr geringe oder fehlende unterhaltsrechtliche Leistungsfähigkeit.</w:t>
      </w:r>
    </w:p>
    <w:p>
      <w:pPr>
        <w:jc w:val="left"/>
      </w:pPr>
      <w:r>
        <w:t>5.2 Diese Rechnung steht unter dem ausdrücklichen Vorbehalt der noch ungeklärten Frage, wie der Selbstbehalt beim Elternunterhalt nach Inkrafttreten des Angehörigen-Entlastungsgesetzes bei einem Kind oberhalb der Einkommensgrenze konkret zu bemessen ist. Wird ein niedrigerer Selbstbehalt angesetzt oder der Familienunterhalt anders bewertet, kann sich ein einzusetzender Betrag in der Größenordnung von monatlich einigen hundert Euro ergeben. Die Spanne ist in csv/einkommensuebersicht_markus_reinhold.csv und in den Hinweisen in Aktenstück 14 dokumentiert.</w:t>
      </w:r>
    </w:p>
    <w:p>
      <w:pPr>
        <w:pStyle w:val="Heading2"/>
      </w:pPr>
      <w:r>
        <w:rPr>
          <w:rFonts w:ascii="Times New Roman" w:hAnsi="Times New Roman"/>
        </w:rPr>
        <w:t>6 Verhältnis zum gedeckten Bedarf</w:t>
      </w:r>
    </w:p>
    <w:p>
      <w:pPr>
        <w:jc w:val="left"/>
      </w:pPr>
      <w:r>
        <w:t>Selbst wenn ein einzusetzender Betrag verbliebe, wäre er durch den vom Sozialamt monatlich aufgewendeten ungedeckten Bedarf von rund 2.155 EUR der Höhe nach begrenzt. Eine Inanspruchnahme über diesen Betrag hinaus scheidet aus.</w:t>
      </w:r>
    </w:p>
    <w:p>
      <w:pPr>
        <w:pStyle w:val="Heading2"/>
      </w:pPr>
      <w:r>
        <w:rPr>
          <w:rFonts w:ascii="Times New Roman" w:hAnsi="Times New Roman"/>
        </w:rPr>
        <w:t>7 Quellen und Belege</w:t>
      </w:r>
    </w:p>
    <w:p>
      <w:pPr>
        <w:jc w:val="left"/>
      </w:pPr>
      <w:r>
        <w:t>Quellenpflicht nach references/zitierweise.md. Die Steuer- und Abgabenlast ist überschlägig ermittelt; die Selbstbehaltssätze sind Arbeitswerte und vor Verwendung an amtlicher Quelle zu verifizieren. Normbezug: §§ 1601, 1602, 1603, 1609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