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ascii="Times New Roman" w:hAnsi="Times New Roman"/>
        </w:rPr>
        <w:t>Einwendungen: Kontaktabbruch, Verwirkung und Leistungsunfähigkeit</w:t>
      </w:r>
    </w:p>
    <w:p>
      <w:pPr>
        <w:pStyle w:val="Heading2"/>
      </w:pPr>
      <w:r>
        <w:rPr>
          <w:rFonts w:ascii="Times New Roman" w:hAnsi="Times New Roman"/>
        </w:rPr>
        <w:t>1 Überblick</w:t>
      </w:r>
    </w:p>
    <w:p>
      <w:pPr>
        <w:jc w:val="left"/>
      </w:pPr>
      <w:r>
        <w:t>Der Mandant kann dem Rückgriff sowohl tatsächliche als auch rechtliche Einwendungen entgegenhalten. Im Vordergrund stehen die fehlende oder geringe Leistungsfähigkeit und der Einwand der Verwirkung wegen schweren Fehlverhaltens der Mutter.</w:t>
      </w:r>
    </w:p>
    <w:p>
      <w:pPr>
        <w:pStyle w:val="Heading2"/>
      </w:pPr>
      <w:r>
        <w:rPr>
          <w:rFonts w:ascii="Times New Roman" w:hAnsi="Times New Roman"/>
        </w:rPr>
        <w:t>2 Leistungsunfähigkeit</w:t>
      </w:r>
    </w:p>
    <w:p>
      <w:pPr>
        <w:jc w:val="left"/>
      </w:pPr>
      <w:r>
        <w:t>Die wichtigste Einwendung ist die fehlende Leistungsfähigkeit. Nach der Arbeitsrechnung in Aktenstück 10 verbleibt nach Abzug der vorrangigen Unterhaltspflichten und des erhöhten Selbstbehalts voraussichtlich kein oder nur ein geringer einzusetzender Betrag. Diese Einwendung ist zahlengestützt zu führen und durch vollständige Belege zu untermauern.</w:t>
      </w:r>
    </w:p>
    <w:p>
      <w:pPr>
        <w:pStyle w:val="Heading2"/>
      </w:pPr>
      <w:r>
        <w:rPr>
          <w:rFonts w:ascii="Times New Roman" w:hAnsi="Times New Roman"/>
        </w:rPr>
        <w:t>3 Verwirkung wegen Kontaktabbruchs</w:t>
      </w:r>
    </w:p>
    <w:p>
      <w:pPr>
        <w:jc w:val="left"/>
      </w:pPr>
      <w:r>
        <w:t>3.1 Der Mandant trägt vor, seine Mutter habe den Kontakt zu ihm abgebrochen, als er sechzehn Jahre alt war, nachdem sie die Familie verlassen habe. Sie habe sich in der Folgezeit weder um ihn gekümmert noch zu seiner Hochzeit oder zur Geburt seiner Kinder Kontakt gesucht. Erst die Heimaufnahme habe wieder zu einer Befassung mit ihr geführt.</w:t>
      </w:r>
    </w:p>
    <w:p>
      <w:pPr>
        <w:jc w:val="left"/>
      </w:pPr>
      <w:r>
        <w:t>3.2 Nach § 1611 BGB kann der Unterhaltsanspruch wegen schwerer Verfehlung des Berechtigten gegen den Verpflichteten ganz oder teilweise entfallen. Allein ein vom Elternteil ausgehender Kontaktabbruch im Erwachsenenalter genügt nach der höchstrichterlichen Rechtsprechung in der Regel nicht, um den Anspruch entfallen zu lassen, weil die Verletzung der allgemeinen elterlichen Verpflichtung zu Beistand und Rücksicht für sich genommen noch keine schwere Verfehlung darstellt. Anders kann es liegen, wenn der Elternteil sich in der Kindheit gröblich der eigenen Unterhalts- und Sorgepflicht entzogen hat. Die einschlägige Rechtsprechung ist vor Verwendung an amtlicher Quelle zu verifizieren.</w:t>
      </w:r>
    </w:p>
    <w:p>
      <w:pPr>
        <w:jc w:val="left"/>
      </w:pPr>
      <w:r>
        <w:t>3.3 Für den Mandanten ist der Verwirkungseinwand daher nur begrenzt aussichtsreich, soweit es allein um den späteren Kontaktabbruch geht. Sollte sich belegen lassen, dass die Mutter ihre Unterhalts- und Sorgepflicht bereits in seiner Kindheit nachhaltig verletzt hat, gewinnt der Einwand an Gewicht. Die Tatsachengrundlage ist mit dem Mandanten weiter aufzuklären.</w:t>
      </w:r>
    </w:p>
    <w:p>
      <w:pPr>
        <w:pStyle w:val="Heading2"/>
      </w:pPr>
      <w:r>
        <w:rPr>
          <w:rFonts w:ascii="Times New Roman" w:hAnsi="Times New Roman"/>
        </w:rPr>
        <w:t>4 Zusammenspiel der Einwendungen</w:t>
      </w:r>
    </w:p>
    <w:p>
      <w:pPr>
        <w:jc w:val="left"/>
      </w:pPr>
      <w:r>
        <w:t>Angesichts der wahrscheinlich ohnehin geringen Leistungsfähigkeit kommt es auf die Verwirkung möglicherweise nicht entscheidend an. Gleichwohl ist der Verwirkungsvortrag vorsorglich zu sichern, falls die Berechnung zu einem einzusetzenden Betrag führt.</w:t>
      </w:r>
    </w:p>
    <w:p>
      <w:pPr>
        <w:pStyle w:val="Heading2"/>
      </w:pPr>
      <w:r>
        <w:rPr>
          <w:rFonts w:ascii="Times New Roman" w:hAnsi="Times New Roman"/>
        </w:rPr>
        <w:t>5 Quellen und Belege</w:t>
      </w:r>
    </w:p>
    <w:p>
      <w:pPr>
        <w:jc w:val="left"/>
      </w:pPr>
      <w:r>
        <w:t>Quellenpflicht nach references/zitierweise.md. Grundlage sind die Angaben des Mandanten zum Lebensweg. Normbezug: § 1611 BGB. Die zitierte Rechtsprechung zum Kontaktabbruch ist vor Verwendung an amtlicher Quelle zu verifizieren.</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