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Strategie und Entwurf des Antwortschreibens an das Sozialamt</w:t>
      </w:r>
    </w:p>
    <w:p>
      <w:pPr>
        <w:pStyle w:val="Heading2"/>
      </w:pPr>
      <w:r>
        <w:rPr>
          <w:rFonts w:ascii="Times New Roman" w:hAnsi="Times New Roman"/>
        </w:rPr>
        <w:t>1 Strategische Linie</w:t>
      </w:r>
    </w:p>
    <w:p>
      <w:pPr>
        <w:jc w:val="left"/>
      </w:pPr>
      <w:r>
        <w:t>Die Verteidigung stützt sich auf drei Ebenen. Erstens wird die Auskunft erteilt, aber auf das gesetzlich Geschuldete begrenzt. Zweitens wird die fehlende oder geringe Leistungsfähigkeit nach Abzug der vorrangigen Familienlasten und des erhöhten Selbstbehalts dargelegt. Drittens wird vorsorglich der Verwirkungseinwand und der Hinweis auf die Schenkungsrückforderung gegen die Enkelin als alternativer Befriedigungsweg des Sozialamts in Stellung gebracht. Ziel ist, eine Inanspruchnahme zu vermeiden oder auf einen geringen Betrag zu begrenzen.</w:t>
      </w:r>
    </w:p>
    <w:p>
      <w:pPr>
        <w:pStyle w:val="Heading2"/>
      </w:pPr>
      <w:r>
        <w:rPr>
          <w:rFonts w:ascii="Times New Roman" w:hAnsi="Times New Roman"/>
        </w:rPr>
        <w:t>2 Entwurf des Antwortschreibens</w:t>
      </w:r>
    </w:p>
    <w:p>
      <w:pPr>
        <w:jc w:val="left"/>
      </w:pPr>
      <w:r>
        <w:t>An das</w:t>
      </w:r>
    </w:p>
    <w:p>
      <w:pPr>
        <w:jc w:val="left"/>
      </w:pPr>
      <w:r>
        <w:t>Sozialamt der StädteRegion Aachen</w:t>
      </w:r>
    </w:p>
    <w:p>
      <w:pPr>
        <w:jc w:val="left"/>
      </w:pPr>
      <w:r>
        <w:t>— Hilfe zur Pflege —</w:t>
      </w:r>
    </w:p>
    <w:p>
      <w:pPr>
        <w:jc w:val="left"/>
      </w:pPr>
      <w:r>
        <w:t>In Sachen Unterhaltsregress für Hildegard Reinhold, Ihr Schreiben vom 12.01.2026</w:t>
      </w:r>
    </w:p>
    <w:p>
      <w:pPr>
        <w:jc w:val="left"/>
      </w:pPr>
      <w:r>
        <w:t>Sehr geehrte Damen und Herren,</w:t>
      </w:r>
    </w:p>
    <w:p>
      <w:pPr>
        <w:jc w:val="left"/>
      </w:pPr>
      <w:r>
        <w:t>in der vorbezeichneten Angelegenheit zeigen wir an, dass uns Herr Markus Reinhold mit der Wahrnehmung seiner Interessen beauftragt hat. Eine auf uns lautende Vollmacht fügen wir bei.</w:t>
      </w:r>
    </w:p>
    <w:p>
      <w:pPr>
        <w:jc w:val="left"/>
      </w:pPr>
      <w:r>
        <w:t>Wir nehmen Ihre Rechtswahrungsanzeige und Ihr Auskunftsverlangen zur Kenntnis. Unser Mandant ist bereit, im gesetzlich gebotenen Umfang Auskunft zu erteilen. Wir übersenden anliegend eine Einkommensübersicht für das Kalenderjahr 2025 nebst Belegen.</w:t>
      </w:r>
    </w:p>
    <w:p>
      <w:pPr>
        <w:jc w:val="left"/>
      </w:pPr>
      <w:r>
        <w:t>Wir weisen bereits jetzt darauf hin, dass unser Mandant gegenüber seiner teilzeitbeschäftigten Ehefrau und zwei minderjährigen, im Haushalt lebenden Kindern vorrangig unterhaltspflichtig ist. Nach Abzug dieser vorrangigen Verpflichtungen und unter Berücksichtigung des beim Elternunterhalt erhöhten Selbstbehalts verbleibt nach unserer Berechnung kein oder allenfalls ein geringfügiger einzusetzender Betrag. Eine Inanspruchnahme in nennenswerter Höhe kommt danach nicht in Betracht.</w:t>
      </w:r>
    </w:p>
    <w:p>
      <w:pPr>
        <w:jc w:val="left"/>
      </w:pPr>
      <w:r>
        <w:t>Wir behalten uns ferner vor, dem Anspruch entgegenzuhalten, dass der Kontakt zwischen unserem Mandanten und seiner Mutter seit dessen Jugend abgebrochen war. Schließlich weisen wir darauf hin, dass die Leistungsberechtigte im Jahr 2021 eine Geldzuwendung von 30.000 EUR vorgenommen hat, deren Rückforderung nach § 528 BGB vorrangig zu prüfen sein dürfte.</w:t>
      </w:r>
    </w:p>
    <w:p>
      <w:pPr>
        <w:jc w:val="left"/>
      </w:pPr>
      <w:r>
        <w:t>Wir bitten um Mitteilung, in welcher Höhe Sie monatliche Leistungen erbringen und wie Sie die Heranziehung der weiteren unterhaltspflichtigen Tochter beurteilen. Eine Zahlungsaufforderung weisen wir bis zur abschließenden Klärung der Leistungsfähigkeit zurück.</w:t>
      </w:r>
    </w:p>
    <w:p>
      <w:pPr>
        <w:jc w:val="left"/>
      </w:pPr>
      <w:r>
        <w:t>Für Rückfragen stehen wir zur Verfügung.</w:t>
      </w:r>
    </w:p>
    <w:p>
      <w:pPr>
        <w:jc w:val="left"/>
      </w:pPr>
      <w:r>
        <w:t>Mit freundlichen Grüßen</w:t>
      </w:r>
    </w:p>
    <w:p>
      <w:pPr>
        <w:jc w:val="left"/>
      </w:pPr>
      <w:r>
        <w:t>Rechtsanwältin</w:t>
      </w:r>
    </w:p>
    <w:p>
      <w:pPr>
        <w:jc w:val="left"/>
      </w:pPr>
      <w:r>
        <w:t>Fachanwältin für Familienrecht</w:t>
      </w:r>
    </w:p>
    <w:p>
      <w:pPr>
        <w:pStyle w:val="Heading2"/>
      </w:pPr>
      <w:r>
        <w:rPr>
          <w:rFonts w:ascii="Times New Roman" w:hAnsi="Times New Roman"/>
        </w:rPr>
        <w:t>3 Hinweise zum Entwurf</w:t>
      </w:r>
    </w:p>
    <w:p>
      <w:pPr>
        <w:jc w:val="left"/>
      </w:pPr>
      <w:r>
        <w:t>Der Entwurf erteilt Auskunft, ohne die Leistungsfähigkeit vorschnell einzuräumen, und sichert die Einwendungen. Die konkreten Zahlen aus Aktenstück 10 sind vor Versand zu prüfen und die Vollmacht beizufügen.</w:t>
      </w:r>
    </w:p>
    <w:p>
      <w:pPr>
        <w:pStyle w:val="Heading2"/>
      </w:pPr>
      <w:r>
        <w:rPr>
          <w:rFonts w:ascii="Times New Roman" w:hAnsi="Times New Roman"/>
        </w:rPr>
        <w:t>4 Quellen und Belege</w:t>
      </w:r>
    </w:p>
    <w:p>
      <w:pPr>
        <w:jc w:val="left"/>
      </w:pPr>
      <w:r>
        <w:t>Quellenpflicht nach references/zitierweise.md. Normbezug: §§ 1601, 1603, 1606, 1611 BGB, § 94 SGB XII, § 528 BGB, Angehörigen-Entlastungsgesetz.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