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Bearbeiterhinweise, offene Punkte, Verifikationsbedarf</w:t>
      </w:r>
    </w:p>
    <w:p>
      <w:pPr>
        <w:pStyle w:val="Heading2"/>
      </w:pPr>
      <w:r>
        <w:rPr>
          <w:rFonts w:ascii="Times New Roman" w:hAnsi="Times New Roman"/>
        </w:rPr>
        <w:t>1 Zweck</w:t>
      </w:r>
    </w:p>
    <w:p>
      <w:pPr>
        <w:jc w:val="left"/>
      </w:pPr>
      <w:r>
        <w:t>Dieser Vermerk fasst die offenen Punkte und den Verifikationsbedarf zusammen, ohne die abschließende rechtliche Lösung vorwegzunehmen. Er dient der internen Bearbeitung und ist nicht zur Weitergabe bestimmt.</w:t>
      </w:r>
    </w:p>
    <w:p>
      <w:pPr>
        <w:pStyle w:val="Heading2"/>
      </w:pPr>
      <w:r>
        <w:rPr>
          <w:rFonts w:ascii="Times New Roman" w:hAnsi="Times New Roman"/>
        </w:rPr>
        <w:t>2 Vorrangig zu klären</w:t>
      </w:r>
    </w:p>
    <w:p>
      <w:pPr>
        <w:jc w:val="left"/>
      </w:pPr>
      <w:r>
        <w:t>2.1 Genauer Einkommensbegriff der 100.000-EUR-Grenze und maßgeblicher Stand des Angehörigen-Entlastungsgesetzes; vor Verwendung an amtlicher Quelle zu verifizieren.</w:t>
      </w:r>
    </w:p>
    <w:p>
      <w:pPr>
        <w:jc w:val="left"/>
      </w:pPr>
      <w:r>
        <w:t>2.2 Höhe und Struktur des Selbstbehalts beim Elternunterhalt bei einem Kind oberhalb der Einkommensgrenze; ob neben der Grenze ein eigenständiger Familienselbstbehalt anzusetzen ist. Arbeitswerte in Aktenstück 06 und 10 sind vorläufig.</w:t>
      </w:r>
    </w:p>
    <w:p>
      <w:pPr>
        <w:jc w:val="left"/>
      </w:pPr>
      <w:r>
        <w:t>2.3 Behandlung des Anteils eines unter der Grenze liegenden Geschwisters: Verlagerung auf das andere Kind oder Verbleib beim Träger; vor Verwendung an amtlicher Quelle zu verifizieren.</w:t>
      </w:r>
    </w:p>
    <w:p>
      <w:pPr>
        <w:pStyle w:val="Heading2"/>
      </w:pPr>
      <w:r>
        <w:rPr>
          <w:rFonts w:ascii="Times New Roman" w:hAnsi="Times New Roman"/>
        </w:rPr>
        <w:t>3 Sachverhalt weiter aufklären</w:t>
      </w:r>
    </w:p>
    <w:p>
      <w:pPr>
        <w:jc w:val="left"/>
      </w:pPr>
      <w:r>
        <w:t>3.1 Tatsächliches Einkommen der Schwester Carola Vennhoff belegen lassen.</w:t>
      </w:r>
    </w:p>
    <w:p>
      <w:pPr>
        <w:jc w:val="left"/>
      </w:pPr>
      <w:r>
        <w:t>3.2 Lebensgeschichtliche Tatsachen zum behaupteten frühen Sorgepflichtverstoß der Mutter sammeln, um den Verwirkungseinwand zu stützen.</w:t>
      </w:r>
    </w:p>
    <w:p>
      <w:pPr>
        <w:jc w:val="left"/>
      </w:pPr>
      <w:r>
        <w:t>3.3 Verbleib der 2021 geschenkten 30.000 EUR und mögliche Entreicherung der Enkelin prüfen.</w:t>
      </w:r>
    </w:p>
    <w:p>
      <w:pPr>
        <w:pStyle w:val="Heading2"/>
      </w:pPr>
      <w:r>
        <w:rPr>
          <w:rFonts w:ascii="Times New Roman" w:hAnsi="Times New Roman"/>
        </w:rPr>
        <w:t>4 Rechenspanne</w:t>
      </w:r>
    </w:p>
    <w:p>
      <w:pPr>
        <w:jc w:val="left"/>
      </w:pPr>
      <w:r>
        <w:t>Nach der Arbeitsrechnung ergibt sich ein einzusetzendes Einkommen von rund 0 EUR bis zu einem niedrigen dreistelligen Monatsbetrag, je nach Ansatz des Selbstbehalts. Die laufende Sozialhilfeleistung von rund 2.155 EUR im Monat bildet die Obergrenze des Regresses. Die Spanne ist in csv/einkommensuebersicht_markus_reinhold.csv hinterlegt.</w:t>
      </w:r>
    </w:p>
    <w:p>
      <w:pPr>
        <w:pStyle w:val="Heading2"/>
      </w:pPr>
      <w:r>
        <w:rPr>
          <w:rFonts w:ascii="Times New Roman" w:hAnsi="Times New Roman"/>
        </w:rPr>
        <w:t>5 Konsistenzhinweis</w:t>
      </w:r>
    </w:p>
    <w:p>
      <w:pPr>
        <w:jc w:val="left"/>
      </w:pPr>
      <w:r>
        <w:t>Die Kernzahlen sind über alle Aktenstücke abgestimmt: Jahresbrutto des Mandanten rund 112.280 EUR, Heimentgelt 4.380 EUR, eigene Mittel der Mutter 2.225 EUR, ungedeckter Bedarf 2.155 EUR. Änderungen sind in allen betroffenen Dateien nachzuziehen.</w:t>
      </w:r>
    </w:p>
    <w:p>
      <w:pPr>
        <w:pStyle w:val="Heading2"/>
      </w:pPr>
      <w:r>
        <w:rPr>
          <w:rFonts w:ascii="Times New Roman" w:hAnsi="Times New Roman"/>
        </w:rPr>
        <w:t>6 Quellen und Belege</w:t>
      </w:r>
    </w:p>
    <w:p>
      <w:pPr>
        <w:jc w:val="left"/>
      </w:pPr>
      <w:r>
        <w:t>Quellenpflicht nach references/zitierweise.md. Sämtliche mit Arbeitswert gekennzeichneten Sätze und die in Bezug genommene Rechtsprechung sind vor abschließender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