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Konzeptskizze Quartier Hafenbogen – Wärme, Strom, Speicher, Mobilität</w:t>
      </w:r>
    </w:p>
    <w:p>
      <w:pPr>
        <w:jc w:val="left"/>
      </w:pPr>
      <w:r>
        <w:rPr>
          <w:b/>
        </w:rPr>
        <w:t>Dokument-Nr.:</w:t>
      </w:r>
      <w:r>
        <w:t xml:space="preserve"> SWKK-KONZ-2024-03</w:t>
      </w:r>
    </w:p>
    <w:p>
      <w:pPr>
        <w:jc w:val="left"/>
      </w:pPr>
      <w:r>
        <w:rPr>
          <w:b/>
        </w:rPr>
        <w:t>Stand:</w:t>
      </w:r>
      <w:r>
        <w:t xml:space="preserve"> 22. April 2024 (Kick-off-Meeting)</w:t>
      </w:r>
    </w:p>
    <w:p>
      <w:pPr>
        <w:jc w:val="left"/>
      </w:pPr>
      <w:r>
        <w:rPr>
          <w:b/>
        </w:rPr>
        <w:t>Verfasser:</w:t>
      </w:r>
      <w:r>
        <w:t xml:space="preserve"> Dipl.-Ing. Heinrich Seltmann, Leiter Netze und Projektentwicklung, SWKK</w:t>
      </w:r>
    </w:p>
    <w:p>
      <w:pPr>
        <w:jc w:val="left"/>
      </w:pPr>
      <w:r>
        <w:rPr>
          <w:b/>
        </w:rPr>
        <w:t>Rechtliche Begleitung:</w:t>
      </w:r>
      <w:r>
        <w:t xml:space="preserve"> Kanzlei Bernauer &amp; Partnerinnen</w:t>
      </w:r>
    </w:p>
    <w:p/>
    <w:p>
      <w:pPr>
        <w:pStyle w:val="Heading2"/>
      </w:pPr>
      <w:r>
        <w:rPr>
          <w:rFonts w:ascii="Times New Roman" w:hAnsi="Times New Roman"/>
        </w:rPr>
        <w:t>1. Projektübersicht</w:t>
      </w:r>
    </w:p>
    <w:p>
      <w:pPr>
        <w:jc w:val="left"/>
      </w:pPr>
      <w:r>
        <w:t>Das Quartier "Hafenbogen" entsteht auf einem 4,2 Hektar großen Brownfield­gelände am nördlichen Stadtrand von Lüdinghausen. Die SWKK entwickelt zusammen mit dem Projekt­entwickler Wohnraum NRW GbR (Grundstücks­verkäufer: DB Netz AG, Erbbaurecht 66 Jahre ab 01.07.2024) fünf Gebäuderiegel mit insgesamt 380 Wohn­einheiten (WE) und 22 Gewerbe­einheiten (GE) im Erdgeschossbereich. Bau­beginn ist für Juli 2026 geplant, Fertig­stellung gestaffelt bis Ende 2027.</w:t>
      </w:r>
    </w:p>
    <w:p>
      <w:pPr>
        <w:jc w:val="left"/>
      </w:pPr>
      <w:r>
        <w:t xml:space="preserve">Energie­versorgungsstrategie: Das Quartier soll </w:t>
      </w:r>
      <w:r>
        <w:rPr>
          <w:b/>
        </w:rPr>
        <w:t>fossil­frei</w:t>
      </w:r>
      <w:r>
        <w:t xml:space="preserve"> betrieben werden. Heizung und Warmwasser kommen vollständig aus dem Nahwärme­netz; der Strom­bedarf der Gemeinschafts­flächen und ein erheblicher Anteil des Haushalts­strombedarfs werden durch die Dach­PV-Anlage abgedeckt (Mieterstrom­modell). Für das angrenzende Kühlhaus (Industriekunde Hafenbogen Logistik GmbH) wird eine Sonder­versorgungslösung erarbeitet.</w:t>
      </w:r>
    </w:p>
    <w:p/>
    <w:p>
      <w:pPr>
        <w:pStyle w:val="Heading2"/>
      </w:pPr>
      <w:r>
        <w:rPr>
          <w:rFonts w:ascii="Times New Roman" w:hAnsi="Times New Roman"/>
        </w:rPr>
        <w:t>2. Technische Eckdaten</w:t>
      </w:r>
    </w:p>
    <w:p>
      <w:pPr>
        <w:pStyle w:val="Heading3"/>
      </w:pPr>
      <w:r>
        <w:rPr>
          <w:rFonts w:ascii="Times New Roman" w:hAnsi="Times New Roman"/>
        </w:rPr>
        <w:t>2.1 Photovoltaik-Anlage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 kWp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Aufteilung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Gebäude × je ca. 240 kWp (Aufdach, Flachdach)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Modultyp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Monokristallin, bifazial, η ≈ 22 %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Wechselrichter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String-Wechselrichter, 3-phasig, 400 V AC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Erwarteter Jahres­ertrag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1.080 MWh/a (spezifisch: 900 kWh/kWp·a)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Eigenverbrauchs­quote (ohne Speicher)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Eigenverbrauchs­quote (mit Speicher)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57 %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EEG-Einordnung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Mieterstrom (§ 21 Abs. 3 EEG 2023), Mieterstromzuschlag beantragt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Netzein­speisung (Rest)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Direkt­vermarktung (EnPremium GmbH, Vertrag 15.04.2025)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Inbetrieb­nahme geplant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</w:tr>
    </w:tbl>
    <w:p>
      <w:pPr>
        <w:jc w:val="left"/>
      </w:pPr>
      <w:r>
        <w:rPr>
          <w:b/>
        </w:rPr>
        <w:t>Hinweis Mieterstromzuschlag:</w:t>
      </w:r>
      <w:r>
        <w:t xml:space="preserve"> Die Aufteilung auf fünf Gebäude (je &lt; 1.000 kWp) ist zwingend erforderlich, damit jede Teil­anlage für den Mieterstromzuschlag gem. § 21 Abs. 3 EEG 2023 qualifiziert (Grenze 1.000 kWp je Anlage). Die SWKK hat dies mit dem Netzbetreiber abgestimmt; die fünf Anlagen werden separat im Marktstamm­daten­register registriert.</w:t>
      </w:r>
    </w:p>
    <w:p>
      <w:pPr>
        <w:pStyle w:val="Heading3"/>
      </w:pPr>
      <w:r>
        <w:rPr>
          <w:rFonts w:ascii="Times New Roman" w:hAnsi="Times New Roman"/>
        </w:rPr>
        <w:t>2.2 Batteriespeicher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Nutzkapazität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800 kWh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Lade-/Entladeleistung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 kW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Technologie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Lithium-Eisenphosphat (LFP), AC-gekoppelt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Zyklenfestigkeit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&gt; 6.000 Vollzyklen (Herstellergarantie)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Wirkungsgrad (round-trip)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≈ 93 %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Primär Eigenverbrauchs­optimierung (PV-Überschuss-Zwischenspeicherung); sekundär Spitzen­kappung (Lastmanagement Industrie­kunde)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Geplante Inbetriebnahme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parallel zur PV-Anlage, 31.12.2026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2.3 Nahwärmenetz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Trassenlänge (Hauptnetz)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680 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Vor-/Rücklauftemperatur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70/45 °C (Auslegungs­temperaturen); Ziel Nieder­temperatur 55/30 °C bis 2030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Nennleistung Gesamtnetz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3.600 kW (inkl. Spitze Industriekunde)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Leitungsdimension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DN 150 (Hauptstrang), DN 100/80 (Verzweigungen)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Isolierung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PUR-Schaum­isolierung, d ≤ 0,03 W/(m·K)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Jahreswärmebedarf Wohnen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5.200 MWh/a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Jahreswärmebedarf Gewerbe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680 MWh/a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Verluste Netz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9 %</w:t>
            </w:r>
          </w:p>
        </w:tc>
      </w:tr>
    </w:tbl>
    <w:p>
      <w:pPr>
        <w:jc w:val="left"/>
      </w:pPr>
      <w:r>
        <w:rPr>
          <w:b/>
        </w:rPr>
        <w:t>Wärme­erzeugungs­anlage: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Aggregat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Vorrang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Jahresanteil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Groß­wärmepumpe (Grundwasser)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 kW Heiz­leistung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75 %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Gas-Spitzenlastkessel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Gas-Spitzenlastkessel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(Reserve)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Solarthermie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max. 120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(Einspeisung Puffer)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2.520 kW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t>COP Wärmepumpe: 3,8 (Jahres­arbeitszahl, Berechnung gem. VDI 4650). Elektrischer Jahres­bedarf Wärmepumpe: ca. 1.370 MWh/a.</w:t>
      </w:r>
    </w:p>
    <w:p>
      <w:pPr>
        <w:pStyle w:val="Heading3"/>
      </w:pPr>
      <w:r>
        <w:rPr>
          <w:rFonts w:ascii="Times New Roman" w:hAnsi="Times New Roman"/>
        </w:rPr>
        <w:t>2.4 Anschlussleistung und Netz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Netzanschluss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Mittelspannung 20 kV, Ringkabel­anschluss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Anschlussleistung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1.600 kW (Hauptzähler Quartier) + separater MS-Anschluss Industriekunde (Netzgesellschaft Westfalen GmbH besteht hierauf)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Trafo­station Quartier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× 1.000 kVA (Stichleitungsanschluss)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Netzform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TN-S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Messkonzept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Intelligente Messsysteme (iMSys, § 29 MsbG); Grund­zuständiger Messstellenbetreiber = Netz­gesellschaft Westfalen GmbH; opt. Wechsel zu SWKK als wMSB geplant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2.5 Elektromobilität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Ladetyp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Netzebene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Öffentlich AC (Ladesäule)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NS 0,4 kV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Öffentlich DC (Schnell­lader)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NS 0,4 kV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Halböffentlich AC (Tiefgarage)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NS 0,4 kV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Gesamtanschlussleistung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288 kW</w:t>
            </w:r>
          </w:p>
        </w:tc>
        <w:tc>
          <w:tcPr>
            <w:tcW w:type="dxa" w:w="2268"/>
          </w:tcPr>
          <w:p/>
        </w:tc>
      </w:tr>
    </w:tbl>
    <w:p>
      <w:pPr>
        <w:jc w:val="left"/>
      </w:pPr>
      <w:r>
        <w:t>Lastmanagement der Ladesäulen: OCPP 2.0.1-Protokoll; dynamisches Last­management über Energie­management­system (EMS) der SWKK, Kopplung an Batterie­speicher.</w:t>
      </w:r>
    </w:p>
    <w:p/>
    <w:p>
      <w:pPr>
        <w:pStyle w:val="Heading2"/>
      </w:pPr>
      <w:r>
        <w:rPr>
          <w:rFonts w:ascii="Times New Roman" w:hAnsi="Times New Roman"/>
        </w:rPr>
        <w:t>3. Versorgungs­varianten Industriekunde</w:t>
      </w:r>
    </w:p>
    <w:p>
      <w:pPr>
        <w:pStyle w:val="Heading3"/>
      </w:pPr>
      <w:r>
        <w:rPr>
          <w:rFonts w:ascii="Times New Roman" w:hAnsi="Times New Roman"/>
        </w:rPr>
        <w:t>Variante A: Direkt­anschluss über reguliertes Netz (Netzbetreiber)</w:t>
      </w:r>
    </w:p>
    <w:p>
      <w:pPr>
        <w:jc w:val="left"/>
      </w:pPr>
      <w:r>
        <w:t>Der Industriekunde (Kühlhaus) erhält einen eigenen MS-Anschluss bei der Netz­gesellschaft Westfalen GmbH. Die SWKK liefert Strom über einen separaten Liefer­vertrag. Umlagen und Abgaben fallen in voller Höhe an; Prüfung § 19 Abs. 2 StromNEV-Antrag (individuelle Netz­entgelte) ist sinnvoll.</w:t>
      </w:r>
    </w:p>
    <w:p>
      <w:pPr>
        <w:jc w:val="left"/>
      </w:pPr>
      <w:r>
        <w:rPr>
          <w:i/>
        </w:rPr>
        <w:t>Bewertung:</w:t>
      </w:r>
      <w:r>
        <w:t xml:space="preserve"> Regulatorisch sicher, aber teuer für Industriekunden. Entlastet SWKK von Netz­betreiberrisiken.</w:t>
      </w:r>
    </w:p>
    <w:p>
      <w:pPr>
        <w:pStyle w:val="Heading3"/>
      </w:pPr>
      <w:r>
        <w:rPr>
          <w:rFonts w:ascii="Times New Roman" w:hAnsi="Times New Roman"/>
        </w:rPr>
        <w:t>Variante B: Kundenanlage (§ 3 Nr. 24a EnWG)</w:t>
      </w:r>
    </w:p>
    <w:p>
      <w:pPr>
        <w:jc w:val="left"/>
      </w:pPr>
      <w:r>
        <w:t>Die Versorgung des Industriekunden erfolgt über eine Kunden­anlage der SWKK, die räumlich von der Wohnbebauung bis zum Kühlhaus reicht. Der Industriekunde ist Letztverbraucher innerhalb der Kundenanlage.</w:t>
      </w:r>
    </w:p>
    <w:p>
      <w:pPr>
        <w:jc w:val="left"/>
      </w:pPr>
      <w:r>
        <w:rPr>
          <w:i/>
        </w:rPr>
        <w:t>Voraussetzungen:</w:t>
      </w:r>
      <w:r>
        <w:t xml:space="preserve"> Die Kunden­anlage darf keine allgemeine Versorgung übernehmen; die Leitungen verlaufen auf privatem Gelände oder in gesonderten Trassen. Kritisch: Das Kühlhaus­gelände grenzt an öffentliche Straße; eine Über­querung öffentlichen Straßen­raums kann die Kundenanlage-Eigenschaft ausschließen (Einzel­fall­prüfung erforderlich).</w:t>
      </w:r>
    </w:p>
    <w:p>
      <w:pPr>
        <w:jc w:val="left"/>
      </w:pPr>
      <w:r>
        <w:rPr>
          <w:i/>
        </w:rPr>
        <w:t>Umlagen:</w:t>
      </w:r>
      <w:r>
        <w:t xml:space="preserve"> Innerhalb einer Kundenanlage keine Netzentgelte für den internen Strom­fluss; EEG-Umlage fällt ab 2023 nicht mehr an (§ 3 EEG 2023). KWKG-Umlage: ja, soweit SWKK kein KWK-Strom-Selbstverbrauch. Konzessions­abgaben: nein.</w:t>
      </w:r>
    </w:p>
    <w:p>
      <w:pPr>
        <w:jc w:val="left"/>
      </w:pPr>
      <w:r>
        <w:rPr>
          <w:i/>
        </w:rPr>
        <w:t>Bewertung:</w:t>
      </w:r>
      <w:r>
        <w:t xml:space="preserve"> Wirtschaftlich attraktiver, aber mit Rechts­unsicherheit verbunden. Netz­betreiber hat Bedenken angemeldet.</w:t>
      </w:r>
    </w:p>
    <w:p>
      <w:pPr>
        <w:pStyle w:val="Heading3"/>
      </w:pPr>
      <w:r>
        <w:rPr>
          <w:rFonts w:ascii="Times New Roman" w:hAnsi="Times New Roman"/>
        </w:rPr>
        <w:t>Variante C: Geschlossenes Verteiler­netz (§ 110 EnWG)</w:t>
      </w:r>
    </w:p>
    <w:p>
      <w:pPr>
        <w:jc w:val="left"/>
      </w:pPr>
      <w:r>
        <w:t>Als GVN qualifiziert ein Netz, das Energie innerhalb eines geografisch begrenzten Industrie- oder Gewerbe­geländes oder eines Gebiets für gemeinsame oder geteilte Zwecke überträgt oder verteilt. Die GVN-Betreiberin (SWKK) hat gegenüber dem Netz­betreiber und der BNetzA Anzeige­pflichten; sie unterliegt bestimmten Entflechtungs- und Regulierungs­pflichten, jedoch vereinfacht gegenüber einem regulären VNB.</w:t>
      </w:r>
    </w:p>
    <w:p>
      <w:pPr>
        <w:jc w:val="left"/>
      </w:pPr>
      <w:r>
        <w:rPr>
          <w:i/>
        </w:rPr>
        <w:t>Bewertung:</w:t>
      </w:r>
      <w:r>
        <w:t xml:space="preserve"> Langfristig die belastbarste Lösung, sofern das Gelände als "gemeinsames Areal" qualifiziert. Weiterer Rechtsbedarf: GVN-Anzeige bei BNetzA, Kunden­netz­zugangsbedingungen.</w:t>
      </w:r>
    </w:p>
    <w:p>
      <w:pPr>
        <w:jc w:val="left"/>
      </w:pPr>
      <w:r>
        <w:rPr>
          <w:b/>
        </w:rPr>
        <w:t>Empfehlung der Kanzlei (vorläufig):</w:t>
      </w:r>
      <w:r>
        <w:t xml:space="preserve"> Detailprüfung Variante B (Kunden­anlage), parallel Vorbereitungen für Variante C; Variante A als Fallback.</w:t>
      </w:r>
    </w:p>
    <w:p/>
    <w:p>
      <w:pPr>
        <w:pStyle w:val="Heading2"/>
      </w:pPr>
      <w:r>
        <w:rPr>
          <w:rFonts w:ascii="Times New Roman" w:hAnsi="Times New Roman"/>
        </w:rPr>
        <w:t>4. Offene Rechtsfragen und Prüfpunkte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Abgrenzung Kunden­anlage / GVN für Kühhaus-Versorgung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Messkonzept (iMSys, Unter­messungs­konzept)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Konzept­entwurf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Mieterstromzuschlag: Antrags­stellung und Anlagen­registrierung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 nach Baugenehmigung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AVBFernwärmeV-Konformität Wärme­liefervertrag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Vertragsentwurf in Arbeit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BImSchG-Genehmigung Gas-Spitzen­lastkessel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Frage: Bagatell­schwelle 4. BImSchV? (&lt; 1 MW je Aggregat = keine Genehmigungspflicht nach Nr. 1.4 Anhang 1 4. BImSchV)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BNetzA-Meldung Wärme­netz § 49 EnWG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Zuständigkeits­prüfung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§§ 64 ff. EEG-Antrag Industriekunde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Voranfrage beim BAFA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Bilanz­kreis­management PV-Einspeisung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Direktvermarktungs­vertrag: Bilanzkreis­verantwortung bei EnPremium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Netz­entgelt-Privilegierung §19 Abs. 2 StromNEV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Jahres­verbrauch Industriekunde prüfen (&gt; 7.000 h → Voraussetzungen?)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GVN-Anzeige­pflicht bei BNetzA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relevant bei Entscheidung für Variante 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Wirtschaftliche Einschätzung (Überblick)</w:t>
      </w:r>
    </w:p>
    <w:p>
      <w:pPr>
        <w:jc w:val="left"/>
      </w:pPr>
      <w:r>
        <w:t xml:space="preserve">Eine detaillierte Wirtschaftlichkeits­rechnung findet sich in </w:t>
      </w:r>
      <w:r>
        <w:t>09_wirtschaftlichkeit/wirtschaftlichkeitsrechnung_hafenbogen.xlsx</w:t>
      </w:r>
      <w:r>
        <w:t>. Überblicks­daten: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Gesamtinvestition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14.600.000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KfW-Förderdarlehen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3.800.000 EUR (Programm 442 und 270)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Jährliche Erlöse (Steady State ab 2028)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2.150.000 EUR/a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Jährliche Betriebskosten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1.280.000 EUR/a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Jährlicher Kapital­dienst (Darlehen)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380.000 EUR/a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 (Steady State)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870.000 EUR/a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NPV (10 % Diskont, 20 Jahre)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4.200.000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IRR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11,4 %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Amortisations­dauer (einfach)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12,5 Jahre</w:t>
            </w:r>
          </w:p>
        </w:tc>
      </w:tr>
    </w:tbl>
    <w:p>
      <w:pPr>
        <w:jc w:val="left"/>
      </w:pPr>
      <w:r>
        <w:t>Die Wirtschaftlichkeit ist stark abhängig von der Strompreis­entwicklung (Wärme­pumpen­betrieb), dem Mieterstrom­erlös und der Verfügbarkeit der Industriekunden­versorgung.</w:t>
      </w:r>
    </w:p>
    <w:p/>
    <w:p>
      <w:pPr>
        <w:pStyle w:val="Heading2"/>
      </w:pPr>
      <w:r>
        <w:rPr>
          <w:rFonts w:ascii="Times New Roman" w:hAnsi="Times New Roman"/>
        </w:rPr>
        <w:t>6. Nächste Schritte</w:t>
      </w:r>
    </w:p>
    <w:p>
      <w:pPr>
        <w:pStyle w:val="ListNumber"/>
      </w:pPr>
      <w:r>
        <w:t>Netzanschluss­begehren beim Netzbetreiber einreichen (Ziel: November 2024).</w:t>
      </w:r>
    </w:p>
    <w:p>
      <w:pPr>
        <w:pStyle w:val="ListNumber"/>
      </w:pPr>
      <w:r>
        <w:t>Rechts­gutachten zur Kunden­anlage-Fähigkeit der Kühhaus-Verbindung erstellen (Kanzlei Bernauer).</w:t>
      </w:r>
    </w:p>
    <w:p>
      <w:pPr>
        <w:pStyle w:val="ListNumber"/>
      </w:pPr>
      <w:r>
        <w:t>Mieterstromvertrag-Muster ausarbeiten (Kanzlei Bernauer).</w:t>
      </w:r>
    </w:p>
    <w:p>
      <w:pPr>
        <w:pStyle w:val="ListNumber"/>
      </w:pPr>
      <w:r>
        <w:t>Industriekunden-Sonder­vertrag erarbeiten (gemeinsam mit Hafenbogen Logistik GmbH).</w:t>
      </w:r>
    </w:p>
    <w:p>
      <w:pPr>
        <w:pStyle w:val="ListNumber"/>
      </w:pPr>
      <w:r>
        <w:t>Term Sheet für Investor­transaktion vorbereiten.</w:t>
      </w:r>
    </w:p>
    <w:p>
      <w:pPr>
        <w:pStyle w:val="ListNumber"/>
      </w:pPr>
      <w:r>
        <w:t>KfW-Förder­antrag über Hausbank (Sparkasse Lüdinghausen) einreichen.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