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Sachverhalt Lindenwerder</w:t>
      </w:r>
    </w:p>
    <w:p>
      <w:pPr>
        <w:jc w:val="left"/>
      </w:pPr>
      <w:r>
        <w:t>Die Gemeinde Lindenwerder hat 2008 ein Erbbaurecht zugunsten der Kinderbogen gGmbH bestellt. Laufzeit bis 31.12.2068. Zweck: Betrieb einer Kindertagesstätte und Familienbildungsstätte.</w:t>
      </w:r>
    </w:p>
    <w:p>
      <w:pPr>
        <w:jc w:val="left"/>
      </w:pPr>
      <w:r>
        <w:t>Seit 2024 sind Erbbauzinszahlungen mehrfach verspätet. Die Kinderbogen gGmbH plant einen Erweiterungsbau und eine Photovoltaikanlage. Die Förderbank verlangt eine erstrangige Belastung des Erbbaurechts. Die Gemeinde will Zustimmung nur erteilen, wenn Rückstände ausgeglichen und eine Heimfallklausel verschärft wird.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