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Nachlass Armin Vogel</w:t>
      </w:r>
    </w:p>
    <w:p>
      <w:pPr>
        <w:pStyle w:val="Heading2"/>
      </w:pPr>
      <w:r>
        <w:rPr>
          <w:rFonts w:ascii="Times New Roman" w:hAnsi="Times New Roman"/>
        </w:rPr>
        <w:t>Vermögen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Gegenstand</w:t>
            </w:r>
          </w:p>
        </w:tc>
        <w:tc>
          <w:tcPr>
            <w:tcW w:type="dxa" w:w="4536"/>
          </w:tcPr>
          <w:p>
            <w:r>
              <w:rPr>
                <w:rFonts w:ascii="Times New Roman" w:hAnsi="Times New Roman"/>
                <w:b/>
                <w:sz w:val="20"/>
              </w:rPr>
              <w:t>Wert</w:t>
            </w:r>
          </w:p>
        </w:tc>
      </w:tr>
      <w:tr>
        <w:tc>
          <w:tcPr>
            <w:tcW w:type="dxa" w:w="4536"/>
          </w:tcPr>
          <w:p>
            <w:r>
              <w:rPr>
                <w:rFonts w:ascii="Times New Roman" w:hAnsi="Times New Roman"/>
                <w:sz w:val="20"/>
              </w:rPr>
              <w:t>Geschäftsanteile Vogel Lichttechnik GmbH</w:t>
            </w:r>
          </w:p>
        </w:tc>
        <w:tc>
          <w:tcPr>
            <w:tcW w:type="dxa" w:w="4536"/>
          </w:tcPr>
          <w:p>
            <w:r>
              <w:rPr>
                <w:rFonts w:ascii="Times New Roman" w:hAnsi="Times New Roman"/>
                <w:sz w:val="20"/>
              </w:rPr>
              <w:t>1.800.000,00 EUR</w:t>
            </w:r>
          </w:p>
        </w:tc>
      </w:tr>
      <w:tr>
        <w:tc>
          <w:tcPr>
            <w:tcW w:type="dxa" w:w="4536"/>
          </w:tcPr>
          <w:p>
            <w:r>
              <w:rPr>
                <w:rFonts w:ascii="Times New Roman" w:hAnsi="Times New Roman"/>
                <w:sz w:val="20"/>
              </w:rPr>
              <w:t>Eigentumswohnung Karlsruhe-Weststadt</w:t>
            </w:r>
          </w:p>
        </w:tc>
        <w:tc>
          <w:tcPr>
            <w:tcW w:type="dxa" w:w="4536"/>
          </w:tcPr>
          <w:p>
            <w:r>
              <w:rPr>
                <w:rFonts w:ascii="Times New Roman" w:hAnsi="Times New Roman"/>
                <w:sz w:val="20"/>
              </w:rPr>
              <w:t>620.000,00 EUR</w:t>
            </w:r>
          </w:p>
        </w:tc>
      </w:tr>
      <w:tr>
        <w:tc>
          <w:tcPr>
            <w:tcW w:type="dxa" w:w="4536"/>
          </w:tcPr>
          <w:p>
            <w:r>
              <w:rPr>
                <w:rFonts w:ascii="Times New Roman" w:hAnsi="Times New Roman"/>
                <w:sz w:val="20"/>
              </w:rPr>
              <w:t>Wertpapierdepot</w:t>
            </w:r>
          </w:p>
        </w:tc>
        <w:tc>
          <w:tcPr>
            <w:tcW w:type="dxa" w:w="4536"/>
          </w:tcPr>
          <w:p>
            <w:r>
              <w:rPr>
                <w:rFonts w:ascii="Times New Roman" w:hAnsi="Times New Roman"/>
                <w:sz w:val="20"/>
              </w:rPr>
              <w:t>410.000,00 EUR</w:t>
            </w:r>
          </w:p>
        </w:tc>
      </w:tr>
      <w:tr>
        <w:tc>
          <w:tcPr>
            <w:tcW w:type="dxa" w:w="4536"/>
          </w:tcPr>
          <w:p>
            <w:r>
              <w:rPr>
                <w:rFonts w:ascii="Times New Roman" w:hAnsi="Times New Roman"/>
                <w:sz w:val="20"/>
              </w:rPr>
              <w:t>Oldtimer Mercedes 280 SL</w:t>
            </w:r>
          </w:p>
        </w:tc>
        <w:tc>
          <w:tcPr>
            <w:tcW w:type="dxa" w:w="4536"/>
          </w:tcPr>
          <w:p>
            <w:r>
              <w:rPr>
                <w:rFonts w:ascii="Times New Roman" w:hAnsi="Times New Roman"/>
                <w:sz w:val="20"/>
              </w:rPr>
              <w:t>92.000,00 EUR</w:t>
            </w:r>
          </w:p>
        </w:tc>
      </w:tr>
      <w:tr>
        <w:tc>
          <w:tcPr>
            <w:tcW w:type="dxa" w:w="4536"/>
          </w:tcPr>
          <w:p>
            <w:r>
              <w:rPr>
                <w:rFonts w:ascii="Times New Roman" w:hAnsi="Times New Roman"/>
                <w:sz w:val="20"/>
              </w:rPr>
              <w:t>Girokonto</w:t>
            </w:r>
          </w:p>
        </w:tc>
        <w:tc>
          <w:tcPr>
            <w:tcW w:type="dxa" w:w="4536"/>
          </w:tcPr>
          <w:p>
            <w:r>
              <w:rPr>
                <w:rFonts w:ascii="Times New Roman" w:hAnsi="Times New Roman"/>
                <w:sz w:val="20"/>
              </w:rPr>
              <w:t>38.400,00 EUR</w:t>
            </w:r>
          </w:p>
        </w:tc>
      </w:tr>
      <w:tr>
        <w:tc>
          <w:tcPr>
            <w:tcW w:type="dxa" w:w="4536"/>
          </w:tcPr>
          <w:p>
            <w:r>
              <w:rPr>
                <w:rFonts w:ascii="Times New Roman" w:hAnsi="Times New Roman"/>
                <w:sz w:val="20"/>
              </w:rPr>
              <w:t>Darlehen an GmbH</w:t>
            </w:r>
          </w:p>
        </w:tc>
        <w:tc>
          <w:tcPr>
            <w:tcW w:type="dxa" w:w="4536"/>
          </w:tcPr>
          <w:p>
            <w:r>
              <w:rPr>
                <w:rFonts w:ascii="Times New Roman" w:hAnsi="Times New Roman"/>
                <w:sz w:val="20"/>
              </w:rPr>
              <w:t>220.000,00 EUR</w:t>
            </w:r>
          </w:p>
        </w:tc>
      </w:tr>
      <w:tr>
        <w:tc>
          <w:tcPr>
            <w:tcW w:type="dxa" w:w="4536"/>
          </w:tcPr>
          <w:p>
            <w:r>
              <w:rPr>
                <w:rFonts w:ascii="Times New Roman" w:hAnsi="Times New Roman"/>
                <w:sz w:val="20"/>
              </w:rPr>
              <w:t>Verbindlichkeiten</w:t>
            </w:r>
          </w:p>
        </w:tc>
        <w:tc>
          <w:tcPr>
            <w:tcW w:type="dxa" w:w="4536"/>
          </w:tcPr>
          <w:p>
            <w:r>
              <w:rPr>
                <w:rFonts w:ascii="Times New Roman" w:hAnsi="Times New Roman"/>
                <w:sz w:val="20"/>
              </w:rPr>
              <w:t>-144.000,00 EUR</w:t>
            </w:r>
          </w:p>
        </w:tc>
      </w:tr>
    </w:tbl>
    <w:p>
      <w:pPr>
        <w:pStyle w:val="Heading2"/>
      </w:pPr>
      <w:r>
        <w:rPr>
          <w:rFonts w:ascii="Times New Roman" w:hAnsi="Times New Roman"/>
        </w:rPr>
        <w:t>Beteiligte Ansprüche</w:t>
      </w:r>
    </w:p>
    <w:p>
      <w:pPr>
        <w:jc w:val="left"/>
      </w:pPr>
      <w:r>
        <w:t>Fiona beantragt einen Erbschein als Alleinerbin, hilfsweise als Ehefrau und testamentarisch Begünstigte. Beate meldet sich beim Nachlassgericht und verweist auf das gemeinschaftliche Testament von 1994. Dana macht geltend, Armin habe ihr 2014 ausdrücklich die Hälfte zugewandt; die Scheidung von 2012 liege vor dem Testament und könne die Zuwendung daher nicht automatisch beseitigen.</w:t>
      </w:r>
    </w:p>
    <w:p>
      <w:pPr>
        <w:pStyle w:val="Heading2"/>
      </w:pPr>
      <w:r>
        <w:rPr>
          <w:rFonts w:ascii="Times New Roman" w:hAnsi="Times New Roman"/>
        </w:rPr>
        <w:t>Ehe Armin und Fiona</w:t>
      </w:r>
    </w:p>
    <w:p>
      <w:pPr>
        <w:jc w:val="left"/>
      </w:pPr>
      <w:r>
        <w:t>Eheschließung am 05.11.2021 in Baden-Baden. Keine Kinder. Ehevertrag bisher nicht gefunden. Armin war bei Eheschließung 59, Fiona 32. Dana behauptet, die Ehe sei "nur aus Trotz" geschlossen worden. Fiona legt gemeinsame Steuerbescheide, Fotos, Mietvertrag und Patientenverfügung vor.</w:t>
      </w:r>
    </w:p>
    <w:p>
      <w:pPr>
        <w:pStyle w:val="Heading2"/>
      </w:pPr>
      <w:r>
        <w:rPr>
          <w:rFonts w:ascii="Times New Roman" w:hAnsi="Times New Roman"/>
        </w:rPr>
        <w:t>Arbeitsfrage</w:t>
      </w:r>
    </w:p>
    <w:p>
      <w:pPr>
        <w:jc w:val="left"/>
      </w:pPr>
      <w:r>
        <w:t>Die Erbfolge nach Armin hängt zuerst an der Wirksamkeit und Auslegung der Testamente. Wenn keine wirksame Alleinerbeneinsetzung greift, ist Fionas Ehegattenerbrecht zu prüfen. Ihre frühere Stellung als Stieftochter begründet keine gesetzliche Erbenstellung als Kind.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