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Nachlass Clemens Radtke</w:t>
      </w:r>
    </w:p>
    <w:p>
      <w:pPr>
        <w:pStyle w:val="Heading2"/>
      </w:pPr>
      <w:r>
        <w:rPr>
          <w:rFonts w:ascii="Times New Roman" w:hAnsi="Times New Roman"/>
        </w:rPr>
        <w:t>Vermögen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Gegenstand</w:t>
            </w:r>
          </w:p>
        </w:tc>
        <w:tc>
          <w:tcPr>
            <w:tcW w:type="dxa" w:w="4536"/>
          </w:tcPr>
          <w:p>
            <w:r>
              <w:rPr>
                <w:rFonts w:ascii="Times New Roman" w:hAnsi="Times New Roman"/>
                <w:b/>
                <w:sz w:val="20"/>
              </w:rPr>
              <w:t>Wert</w:t>
            </w:r>
          </w:p>
        </w:tc>
      </w:tr>
      <w:tr>
        <w:tc>
          <w:tcPr>
            <w:tcW w:type="dxa" w:w="4536"/>
          </w:tcPr>
          <w:p>
            <w:r>
              <w:rPr>
                <w:rFonts w:ascii="Times New Roman" w:hAnsi="Times New Roman"/>
                <w:sz w:val="20"/>
              </w:rPr>
              <w:t>Architekturbüro Radtke Partneranteil</w:t>
            </w:r>
          </w:p>
        </w:tc>
        <w:tc>
          <w:tcPr>
            <w:tcW w:type="dxa" w:w="4536"/>
          </w:tcPr>
          <w:p>
            <w:r>
              <w:rPr>
                <w:rFonts w:ascii="Times New Roman" w:hAnsi="Times New Roman"/>
                <w:sz w:val="20"/>
              </w:rPr>
              <w:t>480.000,00 EUR</w:t>
            </w:r>
          </w:p>
        </w:tc>
      </w:tr>
      <w:tr>
        <w:tc>
          <w:tcPr>
            <w:tcW w:type="dxa" w:w="4536"/>
          </w:tcPr>
          <w:p>
            <w:r>
              <w:rPr>
                <w:rFonts w:ascii="Times New Roman" w:hAnsi="Times New Roman"/>
                <w:sz w:val="20"/>
              </w:rPr>
              <w:t>Einfamilienhaus Durlach</w:t>
            </w:r>
          </w:p>
        </w:tc>
        <w:tc>
          <w:tcPr>
            <w:tcW w:type="dxa" w:w="4536"/>
          </w:tcPr>
          <w:p>
            <w:r>
              <w:rPr>
                <w:rFonts w:ascii="Times New Roman" w:hAnsi="Times New Roman"/>
                <w:sz w:val="20"/>
              </w:rPr>
              <w:t>870.000,00 EUR</w:t>
            </w:r>
          </w:p>
        </w:tc>
      </w:tr>
      <w:tr>
        <w:tc>
          <w:tcPr>
            <w:tcW w:type="dxa" w:w="4536"/>
          </w:tcPr>
          <w:p>
            <w:r>
              <w:rPr>
                <w:rFonts w:ascii="Times New Roman" w:hAnsi="Times New Roman"/>
                <w:sz w:val="20"/>
              </w:rPr>
              <w:t>Kunstsammlung Bauhaus-Grafik</w:t>
            </w:r>
          </w:p>
        </w:tc>
        <w:tc>
          <w:tcPr>
            <w:tcW w:type="dxa" w:w="4536"/>
          </w:tcPr>
          <w:p>
            <w:r>
              <w:rPr>
                <w:rFonts w:ascii="Times New Roman" w:hAnsi="Times New Roman"/>
                <w:sz w:val="20"/>
              </w:rPr>
              <w:t>160.000,00 EUR</w:t>
            </w:r>
          </w:p>
        </w:tc>
      </w:tr>
      <w:tr>
        <w:tc>
          <w:tcPr>
            <w:tcW w:type="dxa" w:w="4536"/>
          </w:tcPr>
          <w:p>
            <w:r>
              <w:rPr>
                <w:rFonts w:ascii="Times New Roman" w:hAnsi="Times New Roman"/>
                <w:sz w:val="20"/>
              </w:rPr>
              <w:t>Bankguthaben</w:t>
            </w:r>
          </w:p>
        </w:tc>
        <w:tc>
          <w:tcPr>
            <w:tcW w:type="dxa" w:w="4536"/>
          </w:tcPr>
          <w:p>
            <w:r>
              <w:rPr>
                <w:rFonts w:ascii="Times New Roman" w:hAnsi="Times New Roman"/>
                <w:sz w:val="20"/>
              </w:rPr>
              <w:t>88.000,00 EUR</w:t>
            </w:r>
          </w:p>
        </w:tc>
      </w:tr>
      <w:tr>
        <w:tc>
          <w:tcPr>
            <w:tcW w:type="dxa" w:w="4536"/>
          </w:tcPr>
          <w:p>
            <w:r>
              <w:rPr>
                <w:rFonts w:ascii="Times New Roman" w:hAnsi="Times New Roman"/>
                <w:sz w:val="20"/>
              </w:rPr>
              <w:t>offene Einkommensteuer</w:t>
            </w:r>
          </w:p>
        </w:tc>
        <w:tc>
          <w:tcPr>
            <w:tcW w:type="dxa" w:w="4536"/>
          </w:tcPr>
          <w:p>
            <w:r>
              <w:rPr>
                <w:rFonts w:ascii="Times New Roman" w:hAnsi="Times New Roman"/>
                <w:sz w:val="20"/>
              </w:rPr>
              <w:t>-36.000,00 EUR</w:t>
            </w:r>
          </w:p>
        </w:tc>
      </w:tr>
    </w:tbl>
    <w:p>
      <w:pPr>
        <w:pStyle w:val="Heading2"/>
      </w:pPr>
      <w:r>
        <w:rPr>
          <w:rFonts w:ascii="Times New Roman" w:hAnsi="Times New Roman"/>
        </w:rPr>
        <w:t>Testament</w:t>
      </w:r>
    </w:p>
    <w:p>
      <w:pPr>
        <w:jc w:val="left"/>
      </w:pPr>
      <w:r>
        <w:t>Clemens setzte Fiona 2018 zur Alleinerbin ein. Das Testament ist formal unauffällig. Clemens hatte keine weiteren Kinder. Seine Ehe mit Dana war seit 2001 geschieden. Eine neue Ehe ging er nicht ein.</w:t>
      </w:r>
    </w:p>
    <w:p>
      <w:pPr>
        <w:pStyle w:val="Heading2"/>
      </w:pPr>
      <w:r>
        <w:rPr>
          <w:rFonts w:ascii="Times New Roman" w:hAnsi="Times New Roman"/>
        </w:rPr>
        <w:t>Besonderheit nach Armins Tod</w:t>
      </w:r>
    </w:p>
    <w:p>
      <w:pPr>
        <w:jc w:val="left"/>
      </w:pPr>
      <w:r>
        <w:t>Fiona ist beim Tod von Clemens bereits Witwe von Armin. Sie könnte aus Armins Nachlass Vermögen erhalten haben. Das ändert ihre Stellung als Tochter von Clemens nicht, kann aber Pflichtteils- und Steuerfragen beeinflussen. Dana fragt, ob sie als Mutter von Fiona oder frühere Ehefrau Clemens irgendetwas erbt. Nach Aktenlage spricht dafür nichts, aber der Punkt soll in einer verständlichen Mandantenantwort erklärt werden.</w:t>
      </w:r>
    </w:p>
    <w:p>
      <w:pPr>
        <w:pStyle w:val="Heading2"/>
      </w:pPr>
      <w:r>
        <w:rPr>
          <w:rFonts w:ascii="Times New Roman" w:hAnsi="Times New Roman"/>
        </w:rPr>
        <w:t>Konflikt</w:t>
      </w:r>
    </w:p>
    <w:p>
      <w:pPr>
        <w:jc w:val="left"/>
      </w:pPr>
      <w:r>
        <w:t>Beate versucht, Fionas Glaubwürdigkeit anzugreifen, weil Fiona "erst den Stiefvater geheiratet und dann den Vater beerbt" habe. Für die erbrechtliche Prüfung ist diese Wertung gefährlich: Moralische Irritation ersetzt keine Verwandtschafts- oder Testamentsprüfung.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