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Erbscheinantrag Fiona</w:t>
      </w:r>
    </w:p>
    <w:p>
      <w:pPr>
        <w:pStyle w:val="Heading2"/>
      </w:pPr>
      <w:r>
        <w:rPr>
          <w:rFonts w:ascii="Times New Roman" w:hAnsi="Times New Roman"/>
        </w:rPr>
        <w:t>Antrag Armin Vogel</w:t>
      </w:r>
    </w:p>
    <w:p>
      <w:pPr>
        <w:jc w:val="left"/>
      </w:pPr>
      <w:r>
        <w:t>Fiona Radtke-Vogel beantragt beim Nachlassgericht Karlsruhe einen Erbschein, der sie als Alleinerbin nach Armin Vogel ausweist. Hilfsweise beantragt sie einen Erbschein nach gesetzlicher Erbfolge mit ihr als Ehefrau und den weiteren gesetzlichen Erben, sofern das Gericht das Testament 2014 nicht als Alleinerbeneinsetzung auslegt.</w:t>
      </w:r>
    </w:p>
    <w:p>
      <w:pPr>
        <w:pStyle w:val="Heading2"/>
      </w:pPr>
      <w:r>
        <w:rPr>
          <w:rFonts w:ascii="Times New Roman" w:hAnsi="Times New Roman"/>
        </w:rPr>
        <w:t>Begründung</w:t>
      </w:r>
    </w:p>
    <w:p>
      <w:pPr>
        <w:jc w:val="left"/>
      </w:pPr>
      <w:r>
        <w:t>Fiona beruft sich auf das Testament vom 10.10.2014 und auf die spätere Ehe mit Armin. Sie meint, der Ausdruck "wie eine Tochter" sei nur emotional gemeint und stehe einer Erbenstellung nicht entgegen. Dana sei zwar im Testament erwähnt, habe aber nach der Scheidung und nach späterer Entfremdung keinen Anspruch auf die Hälfte. Beate sei seit 1998 geschiedene Ehefrau; das gemeinschaftliche Testament 1994 sei jedenfalls nicht mehr tragfähig.</w:t>
      </w:r>
    </w:p>
    <w:p>
      <w:pPr>
        <w:pStyle w:val="Heading2"/>
      </w:pPr>
      <w:r>
        <w:rPr>
          <w:rFonts w:ascii="Times New Roman" w:hAnsi="Times New Roman"/>
        </w:rPr>
        <w:t>Gegenargumente</w:t>
      </w:r>
    </w:p>
    <w:p>
      <w:pPr>
        <w:jc w:val="left"/>
      </w:pPr>
      <w:r>
        <w:t>Beate: Testament 1994 sei nie widerrufen worden und habe Bindungswirkung.</w:t>
      </w:r>
    </w:p>
    <w:p>
      <w:pPr>
        <w:jc w:val="left"/>
      </w:pPr>
      <w:r>
        <w:t>Dana: Testament 2014 begünstige sie gerade nach der Scheidung, also bewusst.</w:t>
      </w:r>
    </w:p>
    <w:p>
      <w:pPr>
        <w:jc w:val="left"/>
      </w:pPr>
      <w:r>
        <w:t>Nachlassgericht: Ehegattenerbrecht Fionas ist klarer als die Auslegung der alten Testamente, aber nicht automatisch Alleinerbschaft.</w:t>
      </w:r>
    </w:p>
    <w:p>
      <w:pPr>
        <w:pStyle w:val="Heading2"/>
      </w:pPr>
      <w:r>
        <w:rPr>
          <w:rFonts w:ascii="Times New Roman" w:hAnsi="Times New Roman"/>
        </w:rPr>
        <w:t>Gewünschtes Arbeitsprodukt</w:t>
      </w:r>
    </w:p>
    <w:p>
      <w:pPr>
        <w:pStyle w:val="ListNumber"/>
      </w:pPr>
      <w:r>
        <w:t>Stammbaum und Statusmatrix.</w:t>
      </w:r>
    </w:p>
    <w:p>
      <w:pPr>
        <w:pStyle w:val="ListNumber"/>
      </w:pPr>
      <w:r>
        <w:t>Prüfung der Testamente in zeitlicher Reihenfolge.</w:t>
      </w:r>
    </w:p>
    <w:p>
      <w:pPr>
        <w:pStyle w:val="ListNumber"/>
      </w:pPr>
      <w:r>
        <w:t>Verständlicher Vorschlag an das Nachlassgericht.</w:t>
      </w:r>
    </w:p>
    <w:p>
      <w:pPr>
        <w:pStyle w:val="ListNumber"/>
      </w:pPr>
      <w:r>
        <w:t>Vergleichsvorschlag, falls Dana testamentarisch eine Quote erhält.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