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Prüfvermerk Erbreihenfolge</w:t>
      </w:r>
    </w:p>
    <w:p>
      <w:pPr>
        <w:pStyle w:val="Heading2"/>
      </w:pPr>
      <w:r>
        <w:rPr>
          <w:rFonts w:ascii="Times New Roman" w:hAnsi="Times New Roman"/>
        </w:rPr>
        <w:t>Schritt 1: Armin</w:t>
      </w:r>
    </w:p>
    <w:p>
      <w:pPr>
        <w:jc w:val="left"/>
      </w:pPr>
      <w:r>
        <w:t>Zuerst ist Armins Erbfall zu lösen. Maßgeblich sind die Testamente 1994 und 2014 sowie die Ehe mit Fiona seit 2021. Die frühere Stiefbeziehung zwischen Armin und Fiona schafft kein gesetzliches Kind-Erbrecht. Fionas sichere Rolle ist Ehefrau; eine weitergehende Rolle kann nur aus Testament folgen.</w:t>
      </w:r>
    </w:p>
    <w:p>
      <w:pPr>
        <w:pStyle w:val="Heading2"/>
      </w:pPr>
      <w:r>
        <w:rPr>
          <w:rFonts w:ascii="Times New Roman" w:hAnsi="Times New Roman"/>
        </w:rPr>
        <w:t>Schritt 2: Clemens</w:t>
      </w:r>
    </w:p>
    <w:p>
      <w:pPr>
        <w:jc w:val="left"/>
      </w:pPr>
      <w:r>
        <w:t>Clemens stirbt nach Armin. Sein Testament 2018 setzt Fiona zur Alleinerbin ein. Fiona ist seine leibliche Tochter. Dana ist geschiedene Ehefrau und nicht gesetzliche Erbin. Armins Tod vor Clemens verändert Fionas Abstammung nicht.</w:t>
      </w:r>
    </w:p>
    <w:p>
      <w:pPr>
        <w:pStyle w:val="Heading2"/>
      </w:pPr>
      <w:r>
        <w:rPr>
          <w:rFonts w:ascii="Times New Roman" w:hAnsi="Times New Roman"/>
        </w:rPr>
        <w:t>Schritt 3: Alte Ehegattentestamente</w:t>
      </w:r>
    </w:p>
    <w:p>
      <w:pPr>
        <w:jc w:val="left"/>
      </w:pPr>
      <w:r>
        <w:t>Das Testament Armin-Beate 1994 muss gesondert geprüft werden. Die spätere Scheidung spricht gegen eine fortbestehende Begünstigung als Ehefrau. Ob eine Schlusserbenregelung für Patenkinder oder Kinder von Freunden selbstständig bleibt, hängt von Auslegung und Andeutung ab.</w:t>
      </w:r>
    </w:p>
    <w:p>
      <w:pPr>
        <w:pStyle w:val="Heading2"/>
      </w:pPr>
      <w:r>
        <w:rPr>
          <w:rFonts w:ascii="Times New Roman" w:hAnsi="Times New Roman"/>
        </w:rPr>
        <w:t>Schritt 4: Vergleichsdruck</w:t>
      </w:r>
    </w:p>
    <w:p>
      <w:pPr>
        <w:jc w:val="left"/>
      </w:pPr>
      <w:r>
        <w:t>Der stärkste praktische Streit liegt bei Armin. Dana hat ein greifbares Argument aus dem Testament 2014, weil die Zuwendung an sie nach der Scheidung errichtet wurde. Beate hat ein schwächeres, aber formal nicht völlig leeres Argument aus dem alten Testament. Fiona braucht eine Lösung, die den GmbH-Anteil und die Wohnung verwertbar hält.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