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Übertragungsvertrag Resthof (Abschrift)</w:t>
      </w:r>
    </w:p>
    <w:p>
      <w:pPr>
        <w:jc w:val="left"/>
      </w:pPr>
      <w:r>
        <w:rPr>
          <w:b/>
        </w:rPr>
        <w:t>Urkundenrolle Nr. 811/2019</w:t>
      </w:r>
    </w:p>
    <w:p>
      <w:pPr>
        <w:jc w:val="left"/>
      </w:pPr>
      <w:r>
        <w:t>Verhandelt zu Lüneburg am 22.08.2019.</w:t>
      </w:r>
    </w:p>
    <w:p>
      <w:pPr>
        <w:jc w:val="left"/>
      </w:pPr>
      <w:r>
        <w:t>Vor mir, dem unterzeichnenden Notar</w:t>
      </w:r>
    </w:p>
    <w:p>
      <w:pPr>
        <w:jc w:val="left"/>
      </w:pPr>
      <w:r>
        <w:rPr>
          <w:b/>
        </w:rPr>
        <w:t>Dr. Hannes Wilkens</w:t>
      </w:r>
    </w:p>
    <w:p>
      <w:pPr>
        <w:jc w:val="left"/>
      </w:pPr>
      <w:r>
        <w:t>mit dem Amtssitz in Lüneburg, Am Sande 9, 21335 Lüneburg, erschienen heute:</w:t>
      </w:r>
    </w:p>
    <w:p>
      <w:pPr>
        <w:pStyle w:val="ListNumber"/>
      </w:pPr>
      <w:r>
        <w:t xml:space="preserve">Herr </w:t>
      </w:r>
      <w:r>
        <w:rPr>
          <w:b/>
        </w:rPr>
        <w:t>Helmut Rieken</w:t>
      </w:r>
      <w:r>
        <w:t>, geboren am 04.01.1946, wohnhaft Dorfstraße 11, 21394 Kirchgellersen, ausgewiesen durch Bundespersonalausweis, nachstehend „Übergeber" genannt,</w:t>
      </w:r>
    </w:p>
    <w:p>
      <w:pPr>
        <w:pStyle w:val="ListNumber"/>
      </w:pPr>
      <w:r>
        <w:t xml:space="preserve">Frau </w:t>
      </w:r>
      <w:r>
        <w:rPr>
          <w:b/>
        </w:rPr>
        <w:t>Alva Rieken</w:t>
      </w:r>
      <w:r>
        <w:t>, geboren am 12.09.1981, wohnhaft Ilmenaustraße 4, 21335 Lüneburg, ausgewiesen durch Bundespersonalausweis, nachstehend „Übernehmerin" genannt.</w:t>
      </w:r>
    </w:p>
    <w:p>
      <w:pPr>
        <w:jc w:val="left"/>
      </w:pPr>
      <w:r>
        <w:t>Die Erschienenen erklärten mit der Bitte um Beurkundung:</w:t>
      </w:r>
    </w:p>
    <w:p>
      <w:pPr>
        <w:pStyle w:val="Heading2"/>
      </w:pPr>
      <w:r>
        <w:rPr>
          <w:rFonts w:ascii="Times New Roman" w:hAnsi="Times New Roman"/>
        </w:rPr>
        <w:t>1 Grundbuchstand und Vertragsgegenstand</w:t>
      </w:r>
    </w:p>
    <w:p>
      <w:pPr>
        <w:jc w:val="left"/>
      </w:pPr>
      <w:r>
        <w:t>Der Übergeber ist eingetragener Alleineigentümer des im Grundbuch von Kirchgellersen Blatt 812 verzeichneten Grundbesitzes, Gemarkung Kirchgellersen, Flur 4, Flurstück 18/7, Gebäude- und Freifläche sowie Landwirtschaftsfläche, groß insgesamt 2,84 ha, bestehend aus Wohnhaus, Scheune, ehemaligem Stallgebäude, Hofplatz, 2,4 ha Wiese und altem Obstgarten (nachstehend „Resthof"). In Abteilung II und Abteilung III des Grundbuchs sind keine Eintragungen vorhanden; Grundpfandrechte bestehen nicht.</w:t>
      </w:r>
    </w:p>
    <w:p>
      <w:pPr>
        <w:pStyle w:val="Heading2"/>
      </w:pPr>
      <w:r>
        <w:rPr>
          <w:rFonts w:ascii="Times New Roman" w:hAnsi="Times New Roman"/>
        </w:rPr>
        <w:t>2 Übertragung</w:t>
      </w:r>
    </w:p>
    <w:p>
      <w:pPr>
        <w:jc w:val="left"/>
      </w:pPr>
      <w:r>
        <w:t>Der Übergeber überträgt den in Ziffer 1 bezeichneten Resthof mit allen Bestandteilen und dem gesetzlichen Zubehör im Wege der vorweggenommenen Erbfolge auf die Übernehmerin. Die Beteiligten sind über den Eigentumsübergang einig und bewilligen und beantragen die Eintragung der Rechtsänderung in das Grundbuch.</w:t>
      </w:r>
    </w:p>
    <w:p>
      <w:pPr>
        <w:pStyle w:val="Heading2"/>
      </w:pPr>
      <w:r>
        <w:rPr>
          <w:rFonts w:ascii="Times New Roman" w:hAnsi="Times New Roman"/>
        </w:rPr>
        <w:t>3 Gegenleistungen und Vorbehalte</w:t>
      </w:r>
    </w:p>
    <w:p>
      <w:pPr>
        <w:jc w:val="left"/>
      </w:pPr>
      <w:r>
        <w:t>3.1 Die Übernehmerin verpflichtet sich, den Übergeber im Alter in zumutbarem Umfang zu unterstützen, insbesondere Einkäufe zu erledigen, Arztfahrten zu organisieren und ihn bei Behördenangelegenheiten zu begleiten. Eine bezifferte Pflege- oder Betreuungsvergütung wird nicht vereinbart. Die Verpflichtung zur Pflege in häuslicher Gemeinschaft besteht nur, soweit sie der Übernehmerin nach ihren persönlichen und beruflichen Verhältnissen zumutbar ist.</w:t>
      </w:r>
    </w:p>
    <w:p>
      <w:pPr>
        <w:jc w:val="left"/>
      </w:pPr>
      <w:r>
        <w:t xml:space="preserve">3.2 Der Übergeber behält sich ein </w:t>
      </w:r>
      <w:r>
        <w:rPr>
          <w:b/>
        </w:rPr>
        <w:t>lebenslanges unentgeltliches Wohnungsrecht</w:t>
      </w:r>
      <w:r>
        <w:t xml:space="preserve"> an sämtlichen Räumen der Erdgeschosswohnung des Wohnhauses nebst Mitbenutzung von Hofplatz, Garten und Nebenräumen vor. Das Wohnungsrecht ist als beschränkte persönliche Dienstbarkeit in das Grundbuch einzutragen. Die Schönheitsreparaturen der Wohnung trägt der Übergeber, die Instandhaltung von Dach und Fach die Übernehmerin.</w:t>
      </w:r>
    </w:p>
    <w:p>
      <w:pPr>
        <w:jc w:val="left"/>
      </w:pPr>
      <w:r>
        <w:t>3.3 Der Übergeber ist berechtigt, die Obstwiese lebenslang weiter zu nutzen und die Erträge für sich zu behalten. Die Pachtzahlungen aus der Vermietung der Scheune stehen bis zu seinem Tod dem Übergeber zu.</w:t>
      </w:r>
    </w:p>
    <w:p>
      <w:pPr>
        <w:jc w:val="left"/>
      </w:pPr>
      <w:r>
        <w:t>3.4 Die Übernehmerin übernimmt ab Besitzübergang sämtliche öffentlichen Lasten und Abgaben des Grundbesitzes.</w:t>
      </w:r>
    </w:p>
    <w:p>
      <w:pPr>
        <w:pStyle w:val="Heading2"/>
      </w:pPr>
      <w:r>
        <w:rPr>
          <w:rFonts w:ascii="Times New Roman" w:hAnsi="Times New Roman"/>
        </w:rPr>
        <w:t>4 Rückforderungsrecht</w:t>
      </w:r>
    </w:p>
    <w:p>
      <w:pPr>
        <w:jc w:val="left"/>
      </w:pPr>
      <w:r>
        <w:t>Der Übergeber ist berechtigt, die Rückübertragung des Vertragsgegenstands zu verlangen, wenn</w:t>
      </w:r>
    </w:p>
    <w:p>
      <w:pPr>
        <w:jc w:val="left"/>
      </w:pPr>
      <w:r>
        <w:t>4.1 die Übernehmerin den Vertragsgegenstand ohne schriftliche Zustimmung des Übergebers ganz oder teilweise veräußert oder belastet,</w:t>
      </w:r>
    </w:p>
    <w:p>
      <w:pPr>
        <w:jc w:val="left"/>
      </w:pPr>
      <w:r>
        <w:t>4.2 über das Vermögen der Übernehmerin das Insolvenzverfahren eröffnet oder die Zwangsvollstreckung in den Vertragsgegenstand betrieben wird,</w:t>
      </w:r>
    </w:p>
    <w:p>
      <w:pPr>
        <w:jc w:val="left"/>
      </w:pPr>
      <w:r>
        <w:t>4.3 sich die Übernehmerin groben Undanks im Sinne des Gesetzes schuldig macht.</w:t>
      </w:r>
    </w:p>
    <w:p>
      <w:pPr>
        <w:jc w:val="left"/>
      </w:pPr>
      <w:r>
        <w:t xml:space="preserve">Zur Sicherung des bedingten Rückübertragungsanspruchs bewilligen und beantragen die Beteiligten die Eintragung einer </w:t>
      </w:r>
      <w:r>
        <w:rPr>
          <w:b/>
        </w:rPr>
        <w:t>Rückauflassungsvormerkung</w:t>
      </w:r>
      <w:r>
        <w:t xml:space="preserve"> zugunsten des Übergebers in das Grundbuch.</w:t>
      </w:r>
    </w:p>
    <w:p>
      <w:pPr>
        <w:pStyle w:val="Heading2"/>
      </w:pPr>
      <w:r>
        <w:rPr>
          <w:rFonts w:ascii="Times New Roman" w:hAnsi="Times New Roman"/>
        </w:rPr>
        <w:t>5 Besitzübergang, Gewähr</w:t>
      </w:r>
    </w:p>
    <w:p>
      <w:pPr>
        <w:jc w:val="left"/>
      </w:pPr>
      <w:r>
        <w:t>Besitz, Nutzungen, Lasten und Gefahr gehen am 01.10.2019 auf die Übernehmerin über. Die Übertragung erfolgt unter Ausschluss jeder Sach- und Rechtsmängelhaftung, soweit gesetzlich zulässig; der Übergeber versichert, dass ihm versteckte Mängel nicht bekannt sind.</w:t>
      </w:r>
    </w:p>
    <w:p>
      <w:pPr>
        <w:pStyle w:val="Heading2"/>
      </w:pPr>
      <w:r>
        <w:rPr>
          <w:rFonts w:ascii="Times New Roman" w:hAnsi="Times New Roman"/>
        </w:rPr>
        <w:t>6 Gleichstellung, Anrechnung</w:t>
      </w:r>
    </w:p>
    <w:p>
      <w:pPr>
        <w:jc w:val="left"/>
      </w:pPr>
      <w:r>
        <w:t>Weitere Abfindungen an Abkömmlinge des Übergebers erfolgen aus Anlass dieser Übertragung nicht. Eine Anrechnungs- oder Ausgleichungsbestimmung zugunsten oder zulasten des Sohnes Moritz Rieken enthält dieser Vertrag nicht.</w:t>
      </w:r>
    </w:p>
    <w:p>
      <w:pPr>
        <w:pStyle w:val="Heading2"/>
      </w:pPr>
      <w:r>
        <w:rPr>
          <w:rFonts w:ascii="Times New Roman" w:hAnsi="Times New Roman"/>
        </w:rPr>
        <w:t>7 Kosten, Geschäftswert</w:t>
      </w:r>
    </w:p>
    <w:p>
      <w:pPr>
        <w:jc w:val="left"/>
      </w:pPr>
      <w:r>
        <w:t xml:space="preserve">Die Kosten dieser Urkunde und ihres Vollzugs trägt die Übernehmerin. Für Gebührenzwecke wird der Geschäftswert mit </w:t>
      </w:r>
      <w:r>
        <w:rPr>
          <w:b/>
        </w:rPr>
        <w:t>410.000,00 EUR</w:t>
      </w:r>
      <w:r>
        <w:t xml:space="preserve"> angegeben. Ein Verkehrswertgutachten liegt den Beteiligten nicht vor; der Wert beruht auf einer überschlägigen steuerlichen Einschätzung.</w:t>
      </w:r>
    </w:p>
    <w:p>
      <w:pPr>
        <w:jc w:val="left"/>
      </w:pPr>
      <w:r>
        <w:t>Vorgelesen vom Notar, von den Beteiligten genehmigt und eigenhändig unterschrieben:</w:t>
      </w:r>
    </w:p>
    <w:p>
      <w:pPr>
        <w:jc w:val="left"/>
      </w:pPr>
      <w:r>
        <w:t>gez. Helmut Rieken — gez. Alva Rieken — gez. Dr. Wilkens, Notar</w:t>
      </w:r>
    </w:p>
    <w:p/>
    <w:p>
      <w:pPr>
        <w:jc w:val="left"/>
      </w:pPr>
      <w:r>
        <w:rPr>
          <w:i/>
        </w:rPr>
        <w:t>Kanzleivermerk (RAin Dr. Kalkhorst, 30.06.2026):</w:t>
      </w:r>
      <w:r>
        <w:t xml:space="preserve"> Der Vertrag nennt die Übergabe „vorweggenommene Erbfolge". Der Mandant meint, die vorbehaltenen Nutzungen (Wohnungsrecht, Obstwiese, Scheunenpacht) zeigten, dass die wirtschaftliche Ausgliederung nie vollständig vollzogen wurde. Die Gegenseite meint, Pflegeverpflichtung und Übernahme der Instandhaltung seien echte Gegenleistung.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