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Immobilienwerte und Depotbewegungen</w:t>
      </w:r>
    </w:p>
    <w:p>
      <w:pPr>
        <w:pStyle w:val="Heading2"/>
      </w:pPr>
      <w:r>
        <w:rPr>
          <w:rFonts w:ascii="Times New Roman" w:hAnsi="Times New Roman"/>
        </w:rPr>
        <w:t>Maklereinschätzung Resthof 2026</w:t>
      </w:r>
    </w:p>
    <w:p>
      <w:pPr>
        <w:jc w:val="left"/>
      </w:pPr>
      <w:r>
        <w:t>Maklerbüro Bockelmann, Lüneburg, Kurzeinschätzung vom 20.06.2026:</w:t>
      </w:r>
    </w:p>
    <w:p>
      <w:pPr>
        <w:jc w:val="left"/>
      </w:pPr>
      <w:r>
        <w:t>Der Resthof Kirchgellersen wäre bei freier Veräußerung im Juni 2026 voraussichtlich zwischen 740.000,00 EUR und 820.000,00 EUR erzielbar. Werttreiber sind Baulandnähe, Scheune und große Gartenfläche. Wertmindernd wirken Sanierungsstau Dach, Elektrik und Heizung.</w:t>
      </w:r>
    </w:p>
    <w:p>
      <w:pPr>
        <w:pStyle w:val="Heading2"/>
      </w:pPr>
      <w:r>
        <w:rPr>
          <w:rFonts w:ascii="Times New Roman" w:hAnsi="Times New Roman"/>
        </w:rPr>
        <w:t>Baugrundstück Bardowick</w:t>
      </w:r>
    </w:p>
    <w:p>
      <w:pPr>
        <w:jc w:val="left"/>
      </w:pPr>
      <w:r>
        <w:t>Übertragung laut Grundbuch am 14.04.2021 von Helmut Rieken auf Alva Rieken. Kaufpreis nicht ersichtlich. Alva verkaufte 2023 eine Teilfläche für 228.000,00 EUR. Moritz vermutet, dass der Vater kein Geld erhielt.</w:t>
      </w:r>
    </w:p>
    <w:p>
      <w:pPr>
        <w:pStyle w:val="Heading2"/>
      </w:pPr>
      <w:r>
        <w:rPr>
          <w:rFonts w:ascii="Times New Roman" w:hAnsi="Times New Roman"/>
        </w:rPr>
        <w:t>Depot NordBank</w:t>
      </w:r>
    </w:p>
    <w:p>
      <w:pPr>
        <w:jc w:val="left"/>
      </w:pPr>
      <w:r>
        <w:t>Alte Steuerbescheinigung 2023 zeigt Kapitalerträge aus einem Depot auf Helmut Rieken in Höhe von 9.840,00 EUR. Im Nachlassverzeichnis fehlt ein Depot. Kontoauszüge Januar bis April 2026 zeigen keine Depotabrechnungen.</w:t>
      </w:r>
    </w:p>
    <w:p>
      <w:pPr>
        <w:pStyle w:val="Heading2"/>
      </w:pPr>
      <w:r>
        <w:rPr>
          <w:rFonts w:ascii="Times New Roman" w:hAnsi="Times New Roman"/>
        </w:rPr>
        <w:t>Streitige Bewertung</w:t>
      </w:r>
    </w:p>
    <w:p>
      <w:pPr>
        <w:jc w:val="left"/>
      </w:pPr>
      <w:r>
        <w:t>Die Berechnung braucht mehrere Wertstufen:</w:t>
      </w:r>
    </w:p>
    <w:p>
      <w:pPr>
        <w:pStyle w:val="ListNumber"/>
      </w:pPr>
      <w:r>
        <w:t>Aktiver Nachlass am Todestag.</w:t>
      </w:r>
    </w:p>
    <w:p>
      <w:pPr>
        <w:pStyle w:val="ListNumber"/>
      </w:pPr>
      <w:r>
        <w:t>Wert der Schenkungen im Zeitpunkt der Zuwendung.</w:t>
      </w:r>
    </w:p>
    <w:p>
      <w:pPr>
        <w:pStyle w:val="ListNumber"/>
      </w:pPr>
      <w:r>
        <w:t>Wert im Zeitpunkt des Erbfalls, falls niedriger.</w:t>
      </w:r>
    </w:p>
    <w:p>
      <w:pPr>
        <w:pStyle w:val="ListNumber"/>
      </w:pPr>
      <w:r>
        <w:t>Abzug echter Gegenleistungen.</w:t>
      </w:r>
    </w:p>
    <w:p>
      <w:pPr>
        <w:pStyle w:val="ListNumber"/>
      </w:pPr>
      <w:r>
        <w:t>Behandlung vorbehaltener Rechte und Nutzungen.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