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Bank- und Depotunterlagen</w:t>
      </w:r>
    </w:p>
    <w:p>
      <w:pPr>
        <w:jc w:val="left"/>
      </w:pPr>
      <w:r>
        <w:rPr>
          <w:b/>
        </w:rPr>
        <w:t>NordBank AG — Filiale Lüneburg, Nachlassservice</w:t>
      </w:r>
    </w:p>
    <w:p>
      <w:pPr>
        <w:jc w:val="left"/>
      </w:pPr>
      <w:r>
        <w:t>An den Brodbänken 2 · 21335 Lüneburg</w:t>
      </w:r>
    </w:p>
    <w:p>
      <w:pPr>
        <w:jc w:val="left"/>
      </w:pPr>
      <w:r>
        <w:t>Vorgangsnummer NL-2026-4471 · Unterlagenstand: 18.06.2026</w:t>
      </w:r>
    </w:p>
    <w:p>
      <w:pPr>
        <w:jc w:val="left"/>
      </w:pPr>
      <w:r>
        <w:t>An: Rechtsanwältin Dr. Svenja Kalkhorst, Am Berge 12, 21335 Lüneburg (Vollmacht des Pflichtteilsberechtigten Moritz Rieken vom 26.06.2026 liegt vor; Auskunft nach Freigabe durch die Erbin beschränkt auf den nachstehenden Umfang)</w:t>
      </w:r>
    </w:p>
    <w:p>
      <w:pPr>
        <w:jc w:val="left"/>
      </w:pPr>
      <w:r>
        <w:t xml:space="preserve">Erblasser: </w:t>
      </w:r>
      <w:r>
        <w:rPr>
          <w:b/>
        </w:rPr>
        <w:t>Helmut Rieken</w:t>
      </w:r>
      <w:r>
        <w:t>, geboren am 04.01.1946, verstorben am 18.05.2026</w:t>
      </w:r>
    </w:p>
    <w:p>
      <w:pPr>
        <w:pStyle w:val="Heading2"/>
      </w:pPr>
      <w:r>
        <w:rPr>
          <w:rFonts w:ascii="Times New Roman" w:hAnsi="Times New Roman"/>
        </w:rPr>
        <w:t>Girokonto 44008921</w:t>
      </w:r>
    </w:p>
    <w:p>
      <w:pPr>
        <w:jc w:val="left"/>
      </w:pPr>
      <w:r>
        <w:t>Saldo am Todestag: 18.420,00 EUR. Auffällige Buchungen der letzten Jahre: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Buchung</w:t>
            </w:r>
          </w:p>
        </w:tc>
        <w:tc>
          <w:tcPr>
            <w:tcW w:type="dxa" w:w="2268"/>
          </w:tcPr>
          <w:p>
            <w:r>
              <w:rPr>
                <w:rFonts w:ascii="Times New Roman" w:hAnsi="Times New Roman"/>
                <w:b/>
                <w:sz w:val="20"/>
              </w:rPr>
              <w:t>Betrag</w:t>
            </w:r>
          </w:p>
        </w:tc>
        <w:tc>
          <w:tcPr>
            <w:tcW w:type="dxa" w:w="2268"/>
          </w:tcPr>
          <w:p>
            <w:r>
              <w:rPr>
                <w:rFonts w:ascii="Times New Roman" w:hAnsi="Times New Roman"/>
                <w:b/>
                <w:sz w:val="20"/>
              </w:rPr>
              <w:t>Hinweis</w:t>
            </w:r>
          </w:p>
        </w:tc>
      </w:tr>
      <w:tr>
        <w:tc>
          <w:tcPr>
            <w:tcW w:type="dxa" w:w="2268"/>
          </w:tcPr>
          <w:p>
            <w:r>
              <w:rPr>
                <w:rFonts w:ascii="Times New Roman" w:hAnsi="Times New Roman"/>
                <w:sz w:val="20"/>
              </w:rPr>
              <w:t>15.01.2024</w:t>
            </w:r>
          </w:p>
        </w:tc>
        <w:tc>
          <w:tcPr>
            <w:tcW w:type="dxa" w:w="2268"/>
          </w:tcPr>
          <w:p>
            <w:r>
              <w:rPr>
                <w:rFonts w:ascii="Times New Roman" w:hAnsi="Times New Roman"/>
                <w:sz w:val="20"/>
              </w:rPr>
              <w:t>Überweisung an Alva Rieken</w:t>
            </w:r>
          </w:p>
        </w:tc>
        <w:tc>
          <w:tcPr>
            <w:tcW w:type="dxa" w:w="2268"/>
          </w:tcPr>
          <w:p>
            <w:r>
              <w:rPr>
                <w:rFonts w:ascii="Times New Roman" w:hAnsi="Times New Roman"/>
                <w:sz w:val="20"/>
              </w:rPr>
              <w:t>-45.000,00 EUR</w:t>
            </w:r>
          </w:p>
        </w:tc>
        <w:tc>
          <w:tcPr>
            <w:tcW w:type="dxa" w:w="2268"/>
          </w:tcPr>
          <w:p>
            <w:r>
              <w:rPr>
                <w:rFonts w:ascii="Times New Roman" w:hAnsi="Times New Roman"/>
                <w:sz w:val="20"/>
              </w:rPr>
              <w:t>Verwendungszweck „Umbau Altenteil"</w:t>
            </w:r>
          </w:p>
        </w:tc>
      </w:tr>
      <w:tr>
        <w:tc>
          <w:tcPr>
            <w:tcW w:type="dxa" w:w="2268"/>
          </w:tcPr>
          <w:p>
            <w:r>
              <w:rPr>
                <w:rFonts w:ascii="Times New Roman" w:hAnsi="Times New Roman"/>
                <w:sz w:val="20"/>
              </w:rPr>
              <w:t>28.03.2024</w:t>
            </w:r>
          </w:p>
        </w:tc>
        <w:tc>
          <w:tcPr>
            <w:tcW w:type="dxa" w:w="2268"/>
          </w:tcPr>
          <w:p>
            <w:r>
              <w:rPr>
                <w:rFonts w:ascii="Times New Roman" w:hAnsi="Times New Roman"/>
                <w:sz w:val="20"/>
              </w:rPr>
              <w:t>Abhebung am Schalter</w:t>
            </w:r>
          </w:p>
        </w:tc>
        <w:tc>
          <w:tcPr>
            <w:tcW w:type="dxa" w:w="2268"/>
          </w:tcPr>
          <w:p>
            <w:r>
              <w:rPr>
                <w:rFonts w:ascii="Times New Roman" w:hAnsi="Times New Roman"/>
                <w:sz w:val="20"/>
              </w:rPr>
              <w:t>-12.500,00 EUR</w:t>
            </w:r>
          </w:p>
        </w:tc>
        <w:tc>
          <w:tcPr>
            <w:tcW w:type="dxa" w:w="2268"/>
          </w:tcPr>
          <w:p>
            <w:r>
              <w:rPr>
                <w:rFonts w:ascii="Times New Roman" w:hAnsi="Times New Roman"/>
                <w:sz w:val="20"/>
              </w:rPr>
              <w:t>veranlasst durch Bevollmächtigte Alva Rieken</w:t>
            </w:r>
          </w:p>
        </w:tc>
      </w:tr>
      <w:tr>
        <w:tc>
          <w:tcPr>
            <w:tcW w:type="dxa" w:w="2268"/>
          </w:tcPr>
          <w:p>
            <w:r>
              <w:rPr>
                <w:rFonts w:ascii="Times New Roman" w:hAnsi="Times New Roman"/>
                <w:sz w:val="20"/>
              </w:rPr>
              <w:t>02.09.2024</w:t>
            </w:r>
          </w:p>
        </w:tc>
        <w:tc>
          <w:tcPr>
            <w:tcW w:type="dxa" w:w="2268"/>
          </w:tcPr>
          <w:p>
            <w:r>
              <w:rPr>
                <w:rFonts w:ascii="Times New Roman" w:hAnsi="Times New Roman"/>
                <w:sz w:val="20"/>
              </w:rPr>
              <w:t>Überweisung Landmaschinen Röpke GmbH</w:t>
            </w:r>
          </w:p>
        </w:tc>
        <w:tc>
          <w:tcPr>
            <w:tcW w:type="dxa" w:w="2268"/>
          </w:tcPr>
          <w:p>
            <w:r>
              <w:rPr>
                <w:rFonts w:ascii="Times New Roman" w:hAnsi="Times New Roman"/>
                <w:sz w:val="20"/>
              </w:rPr>
              <w:t>-18.940,00 EUR</w:t>
            </w:r>
          </w:p>
        </w:tc>
        <w:tc>
          <w:tcPr>
            <w:tcW w:type="dxa" w:w="2268"/>
          </w:tcPr>
          <w:p>
            <w:r>
              <w:rPr>
                <w:rFonts w:ascii="Times New Roman" w:hAnsi="Times New Roman"/>
                <w:sz w:val="20"/>
              </w:rPr>
              <w:t>Rechnung ausgestellt auf „Hof Rieken"</w:t>
            </w:r>
          </w:p>
        </w:tc>
      </w:tr>
      <w:tr>
        <w:tc>
          <w:tcPr>
            <w:tcW w:type="dxa" w:w="2268"/>
          </w:tcPr>
          <w:p>
            <w:r>
              <w:rPr>
                <w:rFonts w:ascii="Times New Roman" w:hAnsi="Times New Roman"/>
                <w:sz w:val="20"/>
              </w:rPr>
              <w:t>05.11.2024</w:t>
            </w:r>
          </w:p>
        </w:tc>
        <w:tc>
          <w:tcPr>
            <w:tcW w:type="dxa" w:w="2268"/>
          </w:tcPr>
          <w:p>
            <w:r>
              <w:rPr>
                <w:rFonts w:ascii="Times New Roman" w:hAnsi="Times New Roman"/>
                <w:sz w:val="20"/>
              </w:rPr>
              <w:t>Gutschrift Depotverkauf</w:t>
            </w:r>
          </w:p>
        </w:tc>
        <w:tc>
          <w:tcPr>
            <w:tcW w:type="dxa" w:w="2268"/>
          </w:tcPr>
          <w:p>
            <w:r>
              <w:rPr>
                <w:rFonts w:ascii="Times New Roman" w:hAnsi="Times New Roman"/>
                <w:sz w:val="20"/>
              </w:rPr>
              <w:t>+54.682,40 EUR</w:t>
            </w:r>
          </w:p>
        </w:tc>
        <w:tc>
          <w:tcPr>
            <w:tcW w:type="dxa" w:w="2268"/>
          </w:tcPr>
          <w:p>
            <w:r>
              <w:rPr>
                <w:rFonts w:ascii="Times New Roman" w:hAnsi="Times New Roman"/>
                <w:sz w:val="20"/>
              </w:rPr>
              <w:t>siehe Depot</w:t>
            </w:r>
          </w:p>
        </w:tc>
      </w:tr>
      <w:tr>
        <w:tc>
          <w:tcPr>
            <w:tcW w:type="dxa" w:w="2268"/>
          </w:tcPr>
          <w:p>
            <w:r>
              <w:rPr>
                <w:rFonts w:ascii="Times New Roman" w:hAnsi="Times New Roman"/>
                <w:sz w:val="20"/>
              </w:rPr>
              <w:t>05.11.2024</w:t>
            </w:r>
          </w:p>
        </w:tc>
        <w:tc>
          <w:tcPr>
            <w:tcW w:type="dxa" w:w="2268"/>
          </w:tcPr>
          <w:p>
            <w:r>
              <w:rPr>
                <w:rFonts w:ascii="Times New Roman" w:hAnsi="Times New Roman"/>
                <w:sz w:val="20"/>
              </w:rPr>
              <w:t>Überweisung an Alva Rieken</w:t>
            </w:r>
          </w:p>
        </w:tc>
        <w:tc>
          <w:tcPr>
            <w:tcW w:type="dxa" w:w="2268"/>
          </w:tcPr>
          <w:p>
            <w:r>
              <w:rPr>
                <w:rFonts w:ascii="Times New Roman" w:hAnsi="Times New Roman"/>
                <w:sz w:val="20"/>
              </w:rPr>
              <w:t>-50.000,00 EUR</w:t>
            </w:r>
          </w:p>
        </w:tc>
        <w:tc>
          <w:tcPr>
            <w:tcW w:type="dxa" w:w="2268"/>
          </w:tcPr>
          <w:p>
            <w:r>
              <w:rPr>
                <w:rFonts w:ascii="Times New Roman" w:hAnsi="Times New Roman"/>
                <w:sz w:val="20"/>
              </w:rPr>
              <w:t>Verwendungszweck „Ausgleich Übergabe"</w:t>
            </w:r>
          </w:p>
        </w:tc>
      </w:tr>
      <w:tr>
        <w:tc>
          <w:tcPr>
            <w:tcW w:type="dxa" w:w="2268"/>
          </w:tcPr>
          <w:p>
            <w:r>
              <w:rPr>
                <w:rFonts w:ascii="Times New Roman" w:hAnsi="Times New Roman"/>
                <w:sz w:val="20"/>
              </w:rPr>
              <w:t>11.12.2024</w:t>
            </w:r>
          </w:p>
        </w:tc>
        <w:tc>
          <w:tcPr>
            <w:tcW w:type="dxa" w:w="2268"/>
          </w:tcPr>
          <w:p>
            <w:r>
              <w:rPr>
                <w:rFonts w:ascii="Times New Roman" w:hAnsi="Times New Roman"/>
                <w:sz w:val="20"/>
              </w:rPr>
              <w:t>Überweisung an Jannik Rieken (Enkel)</w:t>
            </w:r>
          </w:p>
        </w:tc>
        <w:tc>
          <w:tcPr>
            <w:tcW w:type="dxa" w:w="2268"/>
          </w:tcPr>
          <w:p>
            <w:r>
              <w:rPr>
                <w:rFonts w:ascii="Times New Roman" w:hAnsi="Times New Roman"/>
                <w:sz w:val="20"/>
              </w:rPr>
              <w:t>-8.000,00 EUR</w:t>
            </w:r>
          </w:p>
        </w:tc>
        <w:tc>
          <w:tcPr>
            <w:tcW w:type="dxa" w:w="2268"/>
          </w:tcPr>
          <w:p>
            <w:r>
              <w:rPr>
                <w:rFonts w:ascii="Times New Roman" w:hAnsi="Times New Roman"/>
                <w:sz w:val="20"/>
              </w:rPr>
              <w:t>Verwendungszweck „Führerschein und Auto"</w:t>
            </w:r>
          </w:p>
        </w:tc>
      </w:tr>
      <w:tr>
        <w:tc>
          <w:tcPr>
            <w:tcW w:type="dxa" w:w="2268"/>
          </w:tcPr>
          <w:p>
            <w:r>
              <w:rPr>
                <w:rFonts w:ascii="Times New Roman" w:hAnsi="Times New Roman"/>
                <w:sz w:val="20"/>
              </w:rPr>
              <w:t>19.02.2025</w:t>
            </w:r>
          </w:p>
        </w:tc>
        <w:tc>
          <w:tcPr>
            <w:tcW w:type="dxa" w:w="2268"/>
          </w:tcPr>
          <w:p>
            <w:r>
              <w:rPr>
                <w:rFonts w:ascii="Times New Roman" w:hAnsi="Times New Roman"/>
                <w:sz w:val="20"/>
              </w:rPr>
              <w:t>Barabhebung</w:t>
            </w:r>
          </w:p>
        </w:tc>
        <w:tc>
          <w:tcPr>
            <w:tcW w:type="dxa" w:w="2268"/>
          </w:tcPr>
          <w:p>
            <w:r>
              <w:rPr>
                <w:rFonts w:ascii="Times New Roman" w:hAnsi="Times New Roman"/>
                <w:sz w:val="20"/>
              </w:rPr>
              <w:t>-9.500,00 EUR</w:t>
            </w:r>
          </w:p>
        </w:tc>
        <w:tc>
          <w:tcPr>
            <w:tcW w:type="dxa" w:w="2268"/>
          </w:tcPr>
          <w:p>
            <w:r>
              <w:rPr>
                <w:rFonts w:ascii="Times New Roman" w:hAnsi="Times New Roman"/>
                <w:sz w:val="20"/>
              </w:rPr>
              <w:t>keine Empfängerangabe</w:t>
            </w:r>
          </w:p>
        </w:tc>
      </w:tr>
      <w:tr>
        <w:tc>
          <w:tcPr>
            <w:tcW w:type="dxa" w:w="2268"/>
          </w:tcPr>
          <w:p>
            <w:r>
              <w:rPr>
                <w:rFonts w:ascii="Times New Roman" w:hAnsi="Times New Roman"/>
                <w:sz w:val="20"/>
              </w:rPr>
              <w:t>03.04.2026</w:t>
            </w:r>
          </w:p>
        </w:tc>
        <w:tc>
          <w:tcPr>
            <w:tcW w:type="dxa" w:w="2268"/>
          </w:tcPr>
          <w:p>
            <w:r>
              <w:rPr>
                <w:rFonts w:ascii="Times New Roman" w:hAnsi="Times New Roman"/>
                <w:sz w:val="20"/>
              </w:rPr>
              <w:t>Gutschrift Pflegekasse</w:t>
            </w:r>
          </w:p>
        </w:tc>
        <w:tc>
          <w:tcPr>
            <w:tcW w:type="dxa" w:w="2268"/>
          </w:tcPr>
          <w:p>
            <w:r>
              <w:rPr>
                <w:rFonts w:ascii="Times New Roman" w:hAnsi="Times New Roman"/>
                <w:sz w:val="20"/>
              </w:rPr>
              <w:t>+728,00 EUR</w:t>
            </w:r>
          </w:p>
        </w:tc>
        <w:tc>
          <w:tcPr>
            <w:tcW w:type="dxa" w:w="2268"/>
          </w:tcPr>
          <w:p>
            <w:r>
              <w:rPr>
                <w:rFonts w:ascii="Times New Roman" w:hAnsi="Times New Roman"/>
                <w:sz w:val="20"/>
              </w:rPr>
              <w:t>monatlich wiederkehrend</w:t>
            </w:r>
          </w:p>
        </w:tc>
      </w:tr>
    </w:tbl>
    <w:p>
      <w:pPr>
        <w:pStyle w:val="Heading2"/>
      </w:pPr>
      <w:r>
        <w:rPr>
          <w:rFonts w:ascii="Times New Roman" w:hAnsi="Times New Roman"/>
        </w:rPr>
        <w:t>Depot 660-192839</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Wertpapier</w:t>
            </w:r>
          </w:p>
        </w:tc>
        <w:tc>
          <w:tcPr>
            <w:tcW w:type="dxa" w:w="2268"/>
          </w:tcPr>
          <w:p>
            <w:r>
              <w:rPr>
                <w:rFonts w:ascii="Times New Roman" w:hAnsi="Times New Roman"/>
                <w:b/>
                <w:sz w:val="20"/>
              </w:rPr>
              <w:t>Bestand 01.01.2024</w:t>
            </w:r>
          </w:p>
        </w:tc>
        <w:tc>
          <w:tcPr>
            <w:tcW w:type="dxa" w:w="2268"/>
          </w:tcPr>
          <w:p>
            <w:r>
              <w:rPr>
                <w:rFonts w:ascii="Times New Roman" w:hAnsi="Times New Roman"/>
                <w:b/>
                <w:sz w:val="20"/>
              </w:rPr>
              <w:t>Bestand 18.05.2026</w:t>
            </w:r>
          </w:p>
        </w:tc>
        <w:tc>
          <w:tcPr>
            <w:tcW w:type="dxa" w:w="2268"/>
          </w:tcPr>
          <w:p>
            <w:r>
              <w:rPr>
                <w:rFonts w:ascii="Times New Roman" w:hAnsi="Times New Roman"/>
                <w:b/>
                <w:sz w:val="20"/>
              </w:rPr>
              <w:t>Bewegung</w:t>
            </w:r>
          </w:p>
        </w:tc>
      </w:tr>
      <w:tr>
        <w:tc>
          <w:tcPr>
            <w:tcW w:type="dxa" w:w="2268"/>
          </w:tcPr>
          <w:p>
            <w:r>
              <w:rPr>
                <w:rFonts w:ascii="Times New Roman" w:hAnsi="Times New Roman"/>
                <w:sz w:val="20"/>
              </w:rPr>
              <w:t>Deka DividendenStrategie</w:t>
            </w:r>
          </w:p>
        </w:tc>
        <w:tc>
          <w:tcPr>
            <w:tcW w:type="dxa" w:w="2268"/>
          </w:tcPr>
          <w:p>
            <w:r>
              <w:rPr>
                <w:rFonts w:ascii="Times New Roman" w:hAnsi="Times New Roman"/>
                <w:sz w:val="20"/>
              </w:rPr>
              <w:t>1.240 Anteile</w:t>
            </w:r>
          </w:p>
        </w:tc>
        <w:tc>
          <w:tcPr>
            <w:tcW w:type="dxa" w:w="2268"/>
          </w:tcPr>
          <w:p>
            <w:r>
              <w:rPr>
                <w:rFonts w:ascii="Times New Roman" w:hAnsi="Times New Roman"/>
                <w:sz w:val="20"/>
              </w:rPr>
              <w:t>480 Anteile</w:t>
            </w:r>
          </w:p>
        </w:tc>
        <w:tc>
          <w:tcPr>
            <w:tcW w:type="dxa" w:w="2268"/>
          </w:tcPr>
          <w:p>
            <w:r>
              <w:rPr>
                <w:rFonts w:ascii="Times New Roman" w:hAnsi="Times New Roman"/>
                <w:sz w:val="20"/>
              </w:rPr>
              <w:t>Verkauf von 760 Anteilen am 05.11.2024</w:t>
            </w:r>
          </w:p>
        </w:tc>
      </w:tr>
      <w:tr>
        <w:tc>
          <w:tcPr>
            <w:tcW w:type="dxa" w:w="2268"/>
          </w:tcPr>
          <w:p>
            <w:r>
              <w:rPr>
                <w:rFonts w:ascii="Times New Roman" w:hAnsi="Times New Roman"/>
                <w:sz w:val="20"/>
              </w:rPr>
              <w:t>Bundesanleihe 2032</w:t>
            </w:r>
          </w:p>
        </w:tc>
        <w:tc>
          <w:tcPr>
            <w:tcW w:type="dxa" w:w="2268"/>
          </w:tcPr>
          <w:p>
            <w:r>
              <w:rPr>
                <w:rFonts w:ascii="Times New Roman" w:hAnsi="Times New Roman"/>
                <w:sz w:val="20"/>
              </w:rPr>
              <w:t>80.000,00 EUR nominal</w:t>
            </w:r>
          </w:p>
        </w:tc>
        <w:tc>
          <w:tcPr>
            <w:tcW w:type="dxa" w:w="2268"/>
          </w:tcPr>
          <w:p>
            <w:r>
              <w:rPr>
                <w:rFonts w:ascii="Times New Roman" w:hAnsi="Times New Roman"/>
                <w:sz w:val="20"/>
              </w:rPr>
              <w:t>80.000,00 EUR nominal</w:t>
            </w:r>
          </w:p>
        </w:tc>
        <w:tc>
          <w:tcPr>
            <w:tcW w:type="dxa" w:w="2268"/>
          </w:tcPr>
          <w:p>
            <w:r>
              <w:rPr>
                <w:rFonts w:ascii="Times New Roman" w:hAnsi="Times New Roman"/>
                <w:sz w:val="20"/>
              </w:rPr>
              <w:t>unverändert</w:t>
            </w:r>
          </w:p>
        </w:tc>
      </w:tr>
      <w:tr>
        <w:tc>
          <w:tcPr>
            <w:tcW w:type="dxa" w:w="2268"/>
          </w:tcPr>
          <w:p>
            <w:r>
              <w:rPr>
                <w:rFonts w:ascii="Times New Roman" w:hAnsi="Times New Roman"/>
                <w:sz w:val="20"/>
              </w:rPr>
              <w:t>NordAgrar AG</w:t>
            </w:r>
          </w:p>
        </w:tc>
        <w:tc>
          <w:tcPr>
            <w:tcW w:type="dxa" w:w="2268"/>
          </w:tcPr>
          <w:p>
            <w:r>
              <w:rPr>
                <w:rFonts w:ascii="Times New Roman" w:hAnsi="Times New Roman"/>
                <w:sz w:val="20"/>
              </w:rPr>
              <w:t>400 Stück</w:t>
            </w:r>
          </w:p>
        </w:tc>
        <w:tc>
          <w:tcPr>
            <w:tcW w:type="dxa" w:w="2268"/>
          </w:tcPr>
          <w:p>
            <w:r>
              <w:rPr>
                <w:rFonts w:ascii="Times New Roman" w:hAnsi="Times New Roman"/>
                <w:sz w:val="20"/>
              </w:rPr>
              <w:t>0 Stück</w:t>
            </w:r>
          </w:p>
        </w:tc>
        <w:tc>
          <w:tcPr>
            <w:tcW w:type="dxa" w:w="2268"/>
          </w:tcPr>
          <w:p>
            <w:r>
              <w:rPr>
                <w:rFonts w:ascii="Times New Roman" w:hAnsi="Times New Roman"/>
                <w:sz w:val="20"/>
              </w:rPr>
              <w:t>Depotübertrag an Alva Rieken am 17.07.2024</w:t>
            </w:r>
          </w:p>
        </w:tc>
      </w:tr>
    </w:tbl>
    <w:p>
      <w:pPr>
        <w:jc w:val="left"/>
      </w:pPr>
      <w:r>
        <w:t>Der Verkauf der Deka-Anteile am 05.11.2024 erbrachte 54.682,40 EUR. Der Erlös wurde noch am selben Tag in Höhe von 50.000,00 EUR an Alva Rieken überwiesen (Verwendungszweck „Ausgleich Übergabe"). Eine schriftliche Vereinbarung hierzu liegt der Bank nicht vor. Für den Depotübertrag der NordAgrar-Aktien liegt lediglich der von Helmut Rieken unterzeichnete Übertragungsauftrag vor; ein Kaufpreis ist nicht vermerkt.</w:t>
      </w:r>
    </w:p>
    <w:p>
      <w:pPr>
        <w:pStyle w:val="Heading2"/>
      </w:pPr>
      <w:r>
        <w:rPr>
          <w:rFonts w:ascii="Times New Roman" w:hAnsi="Times New Roman"/>
        </w:rPr>
        <w:t>Vollmachten</w:t>
      </w:r>
    </w:p>
    <w:p>
      <w:pPr>
        <w:jc w:val="left"/>
      </w:pPr>
      <w:r>
        <w:t>Alva Rieken verfügte seit dem 12.08.2023 über eine transmortale Konto- und Depotvollmacht. Die Vollmacht enthält keine Beschränkung auf laufende Hof- oder Lebenshaltungskosten. Herr Moritz Rieken wurde zu keinem Zeitpunkt als Bevollmächtigter geführt.</w:t>
      </w:r>
    </w:p>
    <w:p>
      <w:pPr>
        <w:pStyle w:val="Heading2"/>
      </w:pPr>
      <w:r>
        <w:rPr>
          <w:rFonts w:ascii="Times New Roman" w:hAnsi="Times New Roman"/>
        </w:rPr>
        <w:t>Hinweis des Nachlassservice</w:t>
      </w:r>
    </w:p>
    <w:p>
      <w:pPr>
        <w:jc w:val="left"/>
      </w:pPr>
      <w:r>
        <w:t>Die Empfänger der Barabhebungen vom 28.03.2024 und 19.02.2025 kann die Bank nicht benennen. Weitere Konto- und Depotauszüge für den Zehnjahreszeitraum werden gegen Erstattung der Auslagen zur Verfügung gestellt, sobald eine Freigabe der Erbin oder ein gerichtlicher Titel vorliegt.</w:t>
      </w:r>
    </w:p>
    <w:p>
      <w:pPr>
        <w:jc w:val="left"/>
      </w:pPr>
      <w:r>
        <w:rPr>
          <w:i/>
        </w:rPr>
        <w:t>Kanzleivermerk: Für die Pflichtteilsergänzung ist zu klären, ob die Abhebungen tatsächlich für Pflege, Hofunterhalt und Lebensbedarf verwendet wurden oder ob weitere Zuwendungen an Alva, den Enkel Jannik oder Dritte vorliegen. Auffällig: Die Bundesanleihe (80.000,00 EUR nominal) bestand am Todestag fort, fehlt aber in der Nachlassaufstellung der Erbin (Stück 02).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