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Adoptionsbeschluss und Beziehung</w:t>
      </w:r>
    </w:p>
    <w:p>
      <w:pPr>
        <w:pStyle w:val="Heading2"/>
      </w:pPr>
      <w:r>
        <w:rPr>
          <w:rFonts w:ascii="Times New Roman" w:hAnsi="Times New Roman"/>
        </w:rPr>
        <w:t>Beschluss Familiengericht Erfurt</w:t>
      </w:r>
    </w:p>
    <w:p>
      <w:pPr>
        <w:jc w:val="left"/>
      </w:pPr>
      <w:r>
        <w:t>Beschluss vom 18.12.2024. Ralf Sander nimmt Jonas Mielke als volljähriges Kind an. Das Gericht stellt fest, dass zwischen Annehmendem und Anzunehmendem ein Eltern-Kind-Verhältnis entstanden sei. Der Beschluss ist seit 24.01.2025 rechtskräftig.</w:t>
      </w:r>
    </w:p>
    <w:p>
      <w:pPr>
        <w:pStyle w:val="Heading2"/>
      </w:pPr>
      <w:r>
        <w:rPr>
          <w:rFonts w:ascii="Times New Roman" w:hAnsi="Times New Roman"/>
        </w:rPr>
        <w:t>Begründung aus dem Verfahren</w:t>
      </w:r>
    </w:p>
    <w:p>
      <w:pPr>
        <w:jc w:val="left"/>
      </w:pPr>
      <w:r>
        <w:t>Ralf Sander erklärte, Jonas habe ihn seit dem Tod seiner Ehefrau im Alltag unterstützt, ihn zu ärztlichen Terminen begleitet und die Fortführung des Familienunternehmens gesichert. Jonas erklärte, er sehe Ralf als Vaterfigur und habe zu seinem leiblichen Vater seit Jahren keinen Kontakt.</w:t>
      </w:r>
    </w:p>
    <w:p>
      <w:pPr>
        <w:jc w:val="left"/>
      </w:pPr>
      <w:r>
        <w:t>Nele und Peer wurden im Adoptionsverfahren nicht angehört. Das Familiengericht vermerkte, die Belange der leiblichen Kinder seien nicht entscheidungserheblich, soweit die gesetzlichen Voraussetzungen der Volljährigenadoption vorliegen.</w:t>
      </w:r>
    </w:p>
    <w:p>
      <w:pPr>
        <w:pStyle w:val="Heading2"/>
      </w:pPr>
      <w:r>
        <w:rPr>
          <w:rFonts w:ascii="Times New Roman" w:hAnsi="Times New Roman"/>
        </w:rPr>
        <w:t>Interne E-Mail Jonas an Steuerberater</w:t>
      </w:r>
    </w:p>
    <w:p>
      <w:pPr>
        <w:jc w:val="left"/>
      </w:pPr>
      <w:r>
        <w:t>Datum 03.02.2025:</w:t>
      </w:r>
    </w:p>
    <w:p>
      <w:pPr>
        <w:jc w:val="left"/>
      </w:pPr>
      <w:r>
        <w:t>"Die Adoption ist jetzt durch. Bitte bei der Nachfolgeplanung mitdenken, dass ich nicht nur Geschäftsführer, sondern künftig auch erbrechtlich sauber drin bin. Ralf will keine Zerschlagung durch Pflichtteilsforderungen."</w:t>
      </w:r>
    </w:p>
    <w:p>
      <w:pPr>
        <w:pStyle w:val="Heading2"/>
      </w:pPr>
      <w:r>
        <w:rPr>
          <w:rFonts w:ascii="Times New Roman" w:hAnsi="Times New Roman"/>
        </w:rPr>
        <w:t>Streitvermerk</w:t>
      </w:r>
    </w:p>
    <w:p>
      <w:pPr>
        <w:jc w:val="left"/>
      </w:pPr>
      <w:r>
        <w:t>Die E-Mail ist missverständlich. Sie kann als Hinweis auf erbrechtliche Motivation gelesen werden. Sie beweist aber nicht ohne Weiteres, dass kein Eltern-Kind-Verhältnis bestand. Für die Beratung ist zu trennen: Bestandskraft des Adoptionsbeschlusses, mögliche Rechtsbehelfe, erbrechtliche Wirkung und Pflichtteilstaktik.</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