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Testament und Gesellschaft</w:t>
      </w:r>
    </w:p>
    <w:p>
      <w:pPr>
        <w:pStyle w:val="Heading2"/>
      </w:pPr>
      <w:r>
        <w:rPr>
          <w:rFonts w:ascii="Times New Roman" w:hAnsi="Times New Roman"/>
        </w:rPr>
        <w:t>Testament Ralf Sander vom 09.04.2025</w:t>
      </w:r>
    </w:p>
    <w:p>
      <w:pPr>
        <w:jc w:val="left"/>
      </w:pPr>
      <w:r>
        <w:t>Ich setze meinen Sohn Jonas Mielke-Sander zu meinem Alleinerben ein. Meine Kinder Nele und Peer sollen ihren Pflichtteil erhalten. Das Unternehmen soll fortgeführt werden. Jonas kennt die Kunden, die Maschinen und die Mitarbeiter. Eine Zerschlagung wäre das Ende meines Lebenswerks.</w:t>
      </w:r>
    </w:p>
    <w:p>
      <w:pPr>
        <w:jc w:val="left"/>
      </w:pPr>
      <w:r>
        <w:t>Erfurt, 09.04.2025</w:t>
      </w:r>
    </w:p>
    <w:p>
      <w:pPr>
        <w:jc w:val="left"/>
      </w:pPr>
      <w:r>
        <w:t>Ralf Sander</w:t>
      </w:r>
    </w:p>
    <w:p>
      <w:pPr>
        <w:pStyle w:val="Heading2"/>
      </w:pPr>
      <w:r>
        <w:rPr>
          <w:rFonts w:ascii="Times New Roman" w:hAnsi="Times New Roman"/>
        </w:rPr>
        <w:t>Gesellschaft</w:t>
      </w:r>
    </w:p>
    <w:p>
      <w:pPr>
        <w:jc w:val="left"/>
      </w:pPr>
      <w:r>
        <w:t>Sander Präzisionsteile GmbH, Sitz Erfurt, Stammkapital 250.000,00 EUR. Ralf Sander hielt 86 Prozent der Geschäftsanteile, Jonas Mielke 14 Prozent aus einer Beteiligung 2023. Geschäftsführer: Ralf Sander und Jonas Mielke. Gesellschaftsvertrag enthält Vinkulierung und Einziehungsmöglichkeit bei Erbfall, wenn Erben nicht im Unternehmen tätig sind.</w:t>
      </w:r>
    </w:p>
    <w:p>
      <w:pPr>
        <w:pStyle w:val="Heading2"/>
      </w:pPr>
      <w:r>
        <w:rPr>
          <w:rFonts w:ascii="Times New Roman" w:hAnsi="Times New Roman"/>
        </w:rPr>
        <w:t>Unternehmenszahlen</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rPr>
                <w:rFonts w:ascii="Times New Roman" w:hAnsi="Times New Roman"/>
                <w:b/>
                <w:sz w:val="20"/>
              </w:rPr>
              <w:t>Jahr</w:t>
            </w:r>
          </w:p>
        </w:tc>
        <w:tc>
          <w:tcPr>
            <w:tcW w:type="dxa" w:w="2268"/>
          </w:tcPr>
          <w:p>
            <w:r>
              <w:rPr>
                <w:rFonts w:ascii="Times New Roman" w:hAnsi="Times New Roman"/>
                <w:b/>
                <w:sz w:val="20"/>
              </w:rPr>
              <w:t>Umsatz</w:t>
            </w:r>
          </w:p>
        </w:tc>
        <w:tc>
          <w:tcPr>
            <w:tcW w:type="dxa" w:w="2268"/>
          </w:tcPr>
          <w:p>
            <w:r>
              <w:rPr>
                <w:rFonts w:ascii="Times New Roman" w:hAnsi="Times New Roman"/>
                <w:b/>
                <w:sz w:val="20"/>
              </w:rPr>
              <w:t>EBITDA</w:t>
            </w:r>
          </w:p>
        </w:tc>
        <w:tc>
          <w:tcPr>
            <w:tcW w:type="dxa" w:w="2268"/>
          </w:tcPr>
          <w:p>
            <w:r>
              <w:rPr>
                <w:rFonts w:ascii="Times New Roman" w:hAnsi="Times New Roman"/>
                <w:b/>
                <w:sz w:val="20"/>
              </w:rPr>
              <w:t>Besonderheit</w:t>
            </w:r>
          </w:p>
        </w:tc>
      </w:tr>
      <w:tr>
        <w:tc>
          <w:tcPr>
            <w:tcW w:type="dxa" w:w="2268"/>
          </w:tcPr>
          <w:p>
            <w:r>
              <w:rPr>
                <w:rFonts w:ascii="Times New Roman" w:hAnsi="Times New Roman"/>
                <w:sz w:val="20"/>
              </w:rPr>
              <w:t>2023</w:t>
            </w:r>
          </w:p>
        </w:tc>
        <w:tc>
          <w:tcPr>
            <w:tcW w:type="dxa" w:w="2268"/>
          </w:tcPr>
          <w:p>
            <w:r>
              <w:rPr>
                <w:rFonts w:ascii="Times New Roman" w:hAnsi="Times New Roman"/>
                <w:sz w:val="20"/>
              </w:rPr>
              <w:t>8.800.000 EUR</w:t>
            </w:r>
          </w:p>
        </w:tc>
        <w:tc>
          <w:tcPr>
            <w:tcW w:type="dxa" w:w="2268"/>
          </w:tcPr>
          <w:p>
            <w:r>
              <w:rPr>
                <w:rFonts w:ascii="Times New Roman" w:hAnsi="Times New Roman"/>
                <w:sz w:val="20"/>
              </w:rPr>
              <w:t>1.120.000 EUR</w:t>
            </w:r>
          </w:p>
        </w:tc>
        <w:tc>
          <w:tcPr>
            <w:tcW w:type="dxa" w:w="2268"/>
          </w:tcPr>
          <w:p>
            <w:r>
              <w:rPr>
                <w:rFonts w:ascii="Times New Roman" w:hAnsi="Times New Roman"/>
                <w:sz w:val="20"/>
              </w:rPr>
              <w:t>Großkunde Jenoptik</w:t>
            </w:r>
          </w:p>
        </w:tc>
      </w:tr>
      <w:tr>
        <w:tc>
          <w:tcPr>
            <w:tcW w:type="dxa" w:w="2268"/>
          </w:tcPr>
          <w:p>
            <w:r>
              <w:rPr>
                <w:rFonts w:ascii="Times New Roman" w:hAnsi="Times New Roman"/>
                <w:sz w:val="20"/>
              </w:rPr>
              <w:t>2024</w:t>
            </w:r>
          </w:p>
        </w:tc>
        <w:tc>
          <w:tcPr>
            <w:tcW w:type="dxa" w:w="2268"/>
          </w:tcPr>
          <w:p>
            <w:r>
              <w:rPr>
                <w:rFonts w:ascii="Times New Roman" w:hAnsi="Times New Roman"/>
                <w:sz w:val="20"/>
              </w:rPr>
              <w:t>9.400.000 EUR</w:t>
            </w:r>
          </w:p>
        </w:tc>
        <w:tc>
          <w:tcPr>
            <w:tcW w:type="dxa" w:w="2268"/>
          </w:tcPr>
          <w:p>
            <w:r>
              <w:rPr>
                <w:rFonts w:ascii="Times New Roman" w:hAnsi="Times New Roman"/>
                <w:sz w:val="20"/>
              </w:rPr>
              <w:t>1.310.000 EUR</w:t>
            </w:r>
          </w:p>
        </w:tc>
        <w:tc>
          <w:tcPr>
            <w:tcW w:type="dxa" w:w="2268"/>
          </w:tcPr>
          <w:p>
            <w:r>
              <w:rPr>
                <w:rFonts w:ascii="Times New Roman" w:hAnsi="Times New Roman"/>
                <w:sz w:val="20"/>
              </w:rPr>
              <w:t>neue Fräslinie</w:t>
            </w:r>
          </w:p>
        </w:tc>
      </w:tr>
      <w:tr>
        <w:tc>
          <w:tcPr>
            <w:tcW w:type="dxa" w:w="2268"/>
          </w:tcPr>
          <w:p>
            <w:r>
              <w:rPr>
                <w:rFonts w:ascii="Times New Roman" w:hAnsi="Times New Roman"/>
                <w:sz w:val="20"/>
              </w:rPr>
              <w:t>2025</w:t>
            </w:r>
          </w:p>
        </w:tc>
        <w:tc>
          <w:tcPr>
            <w:tcW w:type="dxa" w:w="2268"/>
          </w:tcPr>
          <w:p>
            <w:r>
              <w:rPr>
                <w:rFonts w:ascii="Times New Roman" w:hAnsi="Times New Roman"/>
                <w:sz w:val="20"/>
              </w:rPr>
              <w:t>8.100.000 EUR</w:t>
            </w:r>
          </w:p>
        </w:tc>
        <w:tc>
          <w:tcPr>
            <w:tcW w:type="dxa" w:w="2268"/>
          </w:tcPr>
          <w:p>
            <w:r>
              <w:rPr>
                <w:rFonts w:ascii="Times New Roman" w:hAnsi="Times New Roman"/>
                <w:sz w:val="20"/>
              </w:rPr>
              <w:t>790.000 EUR</w:t>
            </w:r>
          </w:p>
        </w:tc>
        <w:tc>
          <w:tcPr>
            <w:tcW w:type="dxa" w:w="2268"/>
          </w:tcPr>
          <w:p>
            <w:r>
              <w:rPr>
                <w:rFonts w:ascii="Times New Roman" w:hAnsi="Times New Roman"/>
                <w:sz w:val="20"/>
              </w:rPr>
              <w:t>krankheitsbedingte Ausfälle Ralf</w:t>
            </w:r>
          </w:p>
        </w:tc>
      </w:tr>
    </w:tbl>
    <w:p>
      <w:pPr>
        <w:pStyle w:val="Heading2"/>
      </w:pPr>
      <w:r>
        <w:rPr>
          <w:rFonts w:ascii="Times New Roman" w:hAnsi="Times New Roman"/>
        </w:rPr>
        <w:t>Streitpunkt Bewertung</w:t>
      </w:r>
    </w:p>
    <w:p>
      <w:pPr>
        <w:jc w:val="left"/>
      </w:pPr>
      <w:r>
        <w:t>Jonas legt eine Bewertung von 2.400.000 EUR für 100 Prozent vor. Nele hält mindestens 5.800.000 EUR für realistisch. Der Steuerberater warnt vor Kundenabhängigkeit und Investitionsstau. Pflichtteilsansprüche hängen wesentlich an der Unternehmensbewertung.</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