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Pflichtteil und Auskunft</w:t>
      </w:r>
    </w:p>
    <w:p>
      <w:pPr>
        <w:pStyle w:val="Heading2"/>
      </w:pPr>
      <w:r>
        <w:rPr>
          <w:rFonts w:ascii="Times New Roman" w:hAnsi="Times New Roman"/>
        </w:rPr>
        <w:t>Schreiben Nele an Jonas vom 22.06.2026</w:t>
      </w:r>
    </w:p>
    <w:p>
      <w:pPr>
        <w:jc w:val="left"/>
      </w:pPr>
      <w:r>
        <w:t>Jonas,</w:t>
      </w:r>
    </w:p>
    <w:p>
      <w:pPr>
        <w:jc w:val="left"/>
      </w:pPr>
      <w:r>
        <w:t>ich akzeptiere nicht, dass Vater mich aus allem herausgedrängt hat. Bitte sende mir bis Ende des Monats das Testament, den Adoptionsbeschluss, die Gesellschafterunterlagen und eine vollständige Liste des Nachlasses. Ich werde meinen Pflichtteil geltend machen.</w:t>
      </w:r>
    </w:p>
    <w:p>
      <w:pPr>
        <w:jc w:val="left"/>
      </w:pPr>
      <w:r>
        <w:t>Nele</w:t>
      </w:r>
    </w:p>
    <w:p>
      <w:pPr>
        <w:pStyle w:val="Heading2"/>
      </w:pPr>
      <w:r>
        <w:rPr>
          <w:rFonts w:ascii="Times New Roman" w:hAnsi="Times New Roman"/>
        </w:rPr>
        <w:t>Antwort Jonas vom 25.06.2026</w:t>
      </w:r>
    </w:p>
    <w:p>
      <w:pPr>
        <w:jc w:val="left"/>
      </w:pPr>
      <w:r>
        <w:t>Nele,</w:t>
      </w:r>
    </w:p>
    <w:p>
      <w:pPr>
        <w:jc w:val="left"/>
      </w:pPr>
      <w:r>
        <w:t>du bekommst, was dir gesetzlich zusteht. Aber du wirst nicht die Firma blockieren. Vater hat klar entschieden. Die Adoption ist rechtskräftig. Ich bin sein Sohn und Alleinerbe.</w:t>
      </w:r>
    </w:p>
    <w:p>
      <w:pPr>
        <w:jc w:val="left"/>
      </w:pPr>
      <w:r>
        <w:t>Jonas</w:t>
      </w:r>
    </w:p>
    <w:p>
      <w:pPr>
        <w:pStyle w:val="Heading2"/>
      </w:pPr>
      <w:r>
        <w:rPr>
          <w:rFonts w:ascii="Times New Roman" w:hAnsi="Times New Roman"/>
        </w:rPr>
        <w:t>Vorläufiger Nachlass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Gegenstand</w:t>
            </w:r>
          </w:p>
        </w:tc>
        <w:tc>
          <w:tcPr>
            <w:tcW w:type="dxa" w:w="4536"/>
          </w:tcPr>
          <w:p>
            <w:r>
              <w:rPr>
                <w:rFonts w:ascii="Times New Roman" w:hAnsi="Times New Roman"/>
                <w:b/>
                <w:sz w:val="20"/>
              </w:rPr>
              <w:t>Wertangabe Jonas</w:t>
            </w:r>
          </w:p>
        </w:tc>
      </w:tr>
      <w:tr>
        <w:tc>
          <w:tcPr>
            <w:tcW w:type="dxa" w:w="4536"/>
          </w:tcPr>
          <w:p>
            <w:r>
              <w:rPr>
                <w:rFonts w:ascii="Times New Roman" w:hAnsi="Times New Roman"/>
                <w:sz w:val="20"/>
              </w:rPr>
              <w:t>86 Prozent Sander Präzisionsteile GmbH</w:t>
            </w:r>
          </w:p>
        </w:tc>
        <w:tc>
          <w:tcPr>
            <w:tcW w:type="dxa" w:w="4536"/>
          </w:tcPr>
          <w:p>
            <w:r>
              <w:rPr>
                <w:rFonts w:ascii="Times New Roman" w:hAnsi="Times New Roman"/>
                <w:sz w:val="20"/>
              </w:rPr>
              <w:t>2.064.000,00 EUR</w:t>
            </w:r>
          </w:p>
        </w:tc>
      </w:tr>
      <w:tr>
        <w:tc>
          <w:tcPr>
            <w:tcW w:type="dxa" w:w="4536"/>
          </w:tcPr>
          <w:p>
            <w:r>
              <w:rPr>
                <w:rFonts w:ascii="Times New Roman" w:hAnsi="Times New Roman"/>
                <w:sz w:val="20"/>
              </w:rPr>
              <w:t>Wohnhaus Erfurt</w:t>
            </w:r>
          </w:p>
        </w:tc>
        <w:tc>
          <w:tcPr>
            <w:tcW w:type="dxa" w:w="4536"/>
          </w:tcPr>
          <w:p>
            <w:r>
              <w:rPr>
                <w:rFonts w:ascii="Times New Roman" w:hAnsi="Times New Roman"/>
                <w:sz w:val="20"/>
              </w:rPr>
              <w:t>740.000,00 EUR</w:t>
            </w:r>
          </w:p>
        </w:tc>
      </w:tr>
      <w:tr>
        <w:tc>
          <w:tcPr>
            <w:tcW w:type="dxa" w:w="4536"/>
          </w:tcPr>
          <w:p>
            <w:r>
              <w:rPr>
                <w:rFonts w:ascii="Times New Roman" w:hAnsi="Times New Roman"/>
                <w:sz w:val="20"/>
              </w:rPr>
              <w:t>Depot</w:t>
            </w:r>
          </w:p>
        </w:tc>
        <w:tc>
          <w:tcPr>
            <w:tcW w:type="dxa" w:w="4536"/>
          </w:tcPr>
          <w:p>
            <w:r>
              <w:rPr>
                <w:rFonts w:ascii="Times New Roman" w:hAnsi="Times New Roman"/>
                <w:sz w:val="20"/>
              </w:rPr>
              <w:t>310.000,00 EUR</w:t>
            </w:r>
          </w:p>
        </w:tc>
      </w:tr>
      <w:tr>
        <w:tc>
          <w:tcPr>
            <w:tcW w:type="dxa" w:w="4536"/>
          </w:tcPr>
          <w:p>
            <w:r>
              <w:rPr>
                <w:rFonts w:ascii="Times New Roman" w:hAnsi="Times New Roman"/>
                <w:sz w:val="20"/>
              </w:rPr>
              <w:t>Oldtimer Porsche 911</w:t>
            </w:r>
          </w:p>
        </w:tc>
        <w:tc>
          <w:tcPr>
            <w:tcW w:type="dxa" w:w="4536"/>
          </w:tcPr>
          <w:p>
            <w:r>
              <w:rPr>
                <w:rFonts w:ascii="Times New Roman" w:hAnsi="Times New Roman"/>
                <w:sz w:val="20"/>
              </w:rPr>
              <w:t>118.000,00 EUR</w:t>
            </w:r>
          </w:p>
        </w:tc>
      </w:tr>
      <w:tr>
        <w:tc>
          <w:tcPr>
            <w:tcW w:type="dxa" w:w="4536"/>
          </w:tcPr>
          <w:p>
            <w:r>
              <w:rPr>
                <w:rFonts w:ascii="Times New Roman" w:hAnsi="Times New Roman"/>
                <w:sz w:val="20"/>
              </w:rPr>
              <w:t>Darlehen GmbH gegenüber Ralf</w:t>
            </w:r>
          </w:p>
        </w:tc>
        <w:tc>
          <w:tcPr>
            <w:tcW w:type="dxa" w:w="4536"/>
          </w:tcPr>
          <w:p>
            <w:r>
              <w:rPr>
                <w:rFonts w:ascii="Times New Roman" w:hAnsi="Times New Roman"/>
                <w:sz w:val="20"/>
              </w:rPr>
              <w:t>280.000,00 EUR</w:t>
            </w:r>
          </w:p>
        </w:tc>
      </w:tr>
      <w:tr>
        <w:tc>
          <w:tcPr>
            <w:tcW w:type="dxa" w:w="4536"/>
          </w:tcPr>
          <w:p>
            <w:r>
              <w:rPr>
                <w:rFonts w:ascii="Times New Roman" w:hAnsi="Times New Roman"/>
                <w:sz w:val="20"/>
              </w:rPr>
              <w:t>Bankverbindlichkeiten privat</w:t>
            </w:r>
          </w:p>
        </w:tc>
        <w:tc>
          <w:tcPr>
            <w:tcW w:type="dxa" w:w="4536"/>
          </w:tcPr>
          <w:p>
            <w:r>
              <w:rPr>
                <w:rFonts w:ascii="Times New Roman" w:hAnsi="Times New Roman"/>
                <w:sz w:val="20"/>
              </w:rPr>
              <w:t>-220.000,00 EUR</w:t>
            </w:r>
          </w:p>
        </w:tc>
      </w:tr>
    </w:tbl>
    <w:p>
      <w:pPr>
        <w:pStyle w:val="Heading2"/>
      </w:pPr>
      <w:r>
        <w:rPr>
          <w:rFonts w:ascii="Times New Roman" w:hAnsi="Times New Roman"/>
        </w:rPr>
        <w:t>Beratungsvermerk</w:t>
      </w:r>
    </w:p>
    <w:p>
      <w:pPr>
        <w:jc w:val="left"/>
      </w:pPr>
      <w:r>
        <w:t>Wenn Jonas als Kind des Erblassers zählt und testamentarischer Alleinerbe ist, sind Nele und Peer pflichtteilsberechtigt. Die Pflichtteilsquote hängt daran, wie viele Abkömmlinge für die gesetzliche Erbquote mitzuzählen sind. Die Volljährigenadoption ist daher für die Quote zentral.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