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Erbscheinstreit</w:t>
      </w:r>
    </w:p>
    <w:p>
      <w:pPr>
        <w:pStyle w:val="Heading2"/>
      </w:pPr>
      <w:r>
        <w:rPr>
          <w:rFonts w:ascii="Times New Roman" w:hAnsi="Times New Roman"/>
        </w:rPr>
        <w:t>Antrag Jonas</w:t>
      </w:r>
    </w:p>
    <w:p>
      <w:pPr>
        <w:jc w:val="left"/>
      </w:pPr>
      <w:r>
        <w:t>Jonas Mielke-Sander beantragt einen Alleinerbschein aufgrund Testaments vom 09.04.2025. Er legt Testament, Sterbeurkunde und Adoptionsbeschluss vor. Er beantragt beschleunigte Erteilung, weil Banken und Großkunden eine klare Vertretung der Gesellschaft verlangen.</w:t>
      </w:r>
    </w:p>
    <w:p>
      <w:pPr>
        <w:pStyle w:val="Heading2"/>
      </w:pPr>
      <w:r>
        <w:rPr>
          <w:rFonts w:ascii="Times New Roman" w:hAnsi="Times New Roman"/>
        </w:rPr>
        <w:t>Einwendungen Nele</w:t>
      </w:r>
    </w:p>
    <w:p>
      <w:pPr>
        <w:jc w:val="left"/>
      </w:pPr>
      <w:r>
        <w:t>Nele beantragt, den Erbschein nicht ohne mündliche Anhörung zu erteilen. Sie hält das Testament für durch Jonas vorbereitet und verlangt Aufklärung zur Testierfähigkeit, zur Abhängigkeit des Erblassers und zur Motivation der Adoption. Sie erkennt an, dass ein Angriff auf den Adoptionsbeschluss schwierig ist, will aber dessen Reichweite für die Pflichtteilsquote prüfen lassen.</w:t>
      </w:r>
    </w:p>
    <w:p>
      <w:pPr>
        <w:pStyle w:val="Heading2"/>
      </w:pPr>
      <w:r>
        <w:rPr>
          <w:rFonts w:ascii="Times New Roman" w:hAnsi="Times New Roman"/>
        </w:rPr>
        <w:t>Gerichtlicher Hinweisentwurf</w:t>
      </w:r>
    </w:p>
    <w:p>
      <w:pPr>
        <w:jc w:val="left"/>
      </w:pPr>
      <w:r>
        <w:t>Das Nachlassgericht weist darauf hin, dass die Wirksamkeit des Testaments, die formale Erbenstellung und die Höhe späterer Pflichtteilsansprüche getrennte Fragen sind. Einwendungen zur Unternehmensbewertung sind grundsätzlich nicht im Erbscheinsverfahren zu klären. Soweit konkrete Tatsachen zur Testierunfähigkeit behauptet werden, sind diese zu substantiieren.</w:t>
      </w:r>
    </w:p>
    <w:p>
      <w:pPr>
        <w:pStyle w:val="Heading2"/>
      </w:pPr>
      <w:r>
        <w:rPr>
          <w:rFonts w:ascii="Times New Roman" w:hAnsi="Times New Roman"/>
        </w:rPr>
        <w:t>Praktische Frage</w:t>
      </w:r>
    </w:p>
    <w:p>
      <w:pPr>
        <w:jc w:val="left"/>
      </w:pPr>
      <w:r>
        <w:t>Soll Nele den Erbschein blockieren oder schneller Auskunft und Wertermittlung verfolgen? Das Aktenziel ist eine taktische Empfehlung, die Unternehmenskontinuität, Auskunftsdruck und Kostenrisiko verbindet.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