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Vergleichsvorschlag Pflichtteil und Unternehmensfortführung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>Die Beteiligten sollen vermeiden, dass Erbschein, Pflichtteil und Unternehmensbewertung gleichzeitig eskalieren. Die Firma braucht Handlungsfähigkeit; Nele braucht belastbare Auskunft und Sicherheit, dass der Unternehmenswert nicht kleingerechnet wird.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Number"/>
      </w:pPr>
      <w:r>
        <w:t>Jonas erhält keine Zustimmung zur endgültigen Auszahlung aus dem Nachlassdepot, bis ein geordnetes Nachlassverzeichnis vorliegt.</w:t>
      </w:r>
    </w:p>
    <w:p>
      <w:pPr>
        <w:pStyle w:val="ListNumber"/>
      </w:pPr>
      <w:r>
        <w:t>Nele erhebt zunächst keine Beschwerde gegen den Erbschein, wenn Jonas ein notarielles Nachlassverzeichnis beauftragt.</w:t>
      </w:r>
    </w:p>
    <w:p>
      <w:pPr>
        <w:pStyle w:val="ListNumber"/>
      </w:pPr>
      <w:r>
        <w:t>Die GmbH wird durch einen gemeinsam benannten Gutachter bewertet.</w:t>
      </w:r>
    </w:p>
    <w:p>
      <w:pPr>
        <w:pStyle w:val="ListNumber"/>
      </w:pPr>
      <w:r>
        <w:t>Jonas zahlt an Nele und Peer binnen vier Wochen nach Gutachten je eine Abschlagszahlung von 150.000,00 EUR.</w:t>
      </w:r>
    </w:p>
    <w:p>
      <w:pPr>
        <w:pStyle w:val="ListNumber"/>
      </w:pPr>
      <w:r>
        <w:t>Über den Restpflichtteil wird nach Gutachten abgerechnet.</w:t>
      </w:r>
    </w:p>
    <w:p>
      <w:pPr>
        <w:pStyle w:val="ListNumber"/>
      </w:pPr>
      <w:r>
        <w:t>Die Beteiligten vereinbaren Stillhalten gegenüber Großkunden und Banken.</w:t>
      </w:r>
    </w:p>
    <w:p>
      <w:pPr>
        <w:pStyle w:val="Heading2"/>
      </w:pPr>
      <w:r>
        <w:rPr>
          <w:rFonts w:ascii="Times New Roman" w:hAnsi="Times New Roman"/>
        </w:rPr>
        <w:t>Druckpunkte</w:t>
      </w:r>
    </w:p>
    <w:p>
      <w:pPr>
        <w:jc w:val="left"/>
      </w:pPr>
      <w:r>
        <w:t>Neles stärkstes Druckmittel ist Auskunft und Bewertung, nicht die pauschale Behauptung, die Adoption sei unwirksam. Jonas' stärkstes Argument ist die Unternehmenskontinuität. Ein Vergleich muss beide Punkte aufnehmen: schneller Geschäftsbetrieb gegen transparente Pflichtteilsberechnung.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