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Grundstück Sonnenbergstraße 38a — Wertgutachten und Wohnrechtsberechnung</w:t>
      </w:r>
    </w:p>
    <w:p>
      <w:pPr>
        <w:jc w:val="left"/>
      </w:pPr>
      <w:r>
        <w:rPr>
          <w:b/>
        </w:rPr>
        <w:t>Az.:</w:t>
      </w:r>
      <w:r>
        <w:t xml:space="preserve"> KlKette 025/0422-ERB-EDE</w:t>
      </w:r>
    </w:p>
    <w:p>
      <w:pPr>
        <w:jc w:val="left"/>
      </w:pPr>
      <w:r>
        <w:rPr>
          <w:b/>
        </w:rPr>
        <w:t>Sachverständigenbüro:</w:t>
      </w:r>
      <w:r>
        <w:t xml:space="preserve"> Bender &amp; Mörser Immobilienbewertung GbR, Rotebühlstraße 188, 70197 Stuttgart</w:t>
      </w:r>
    </w:p>
    <w:p>
      <w:pPr>
        <w:jc w:val="left"/>
      </w:pPr>
      <w:r>
        <w:rPr>
          <w:b/>
        </w:rPr>
        <w:t>Gutachtenauftrag:</w:t>
      </w:r>
      <w:r>
        <w:t xml:space="preserve"> 28.04.2025 durch Kanzlei Klotzkette (Mandatsauftrag Henrike Edelmann)</w:t>
      </w:r>
    </w:p>
    <w:p>
      <w:pPr>
        <w:jc w:val="left"/>
      </w:pPr>
      <w:r>
        <w:rPr>
          <w:b/>
        </w:rPr>
        <w:t>Kurzgutachten:</w:t>
      </w:r>
      <w:r>
        <w:t xml:space="preserve"> 02.05.2025</w:t>
      </w:r>
    </w:p>
    <w:p>
      <w:pPr>
        <w:jc w:val="left"/>
      </w:pPr>
      <w:r>
        <w:rPr>
          <w:b/>
        </w:rPr>
        <w:t>Sachverständiger:</w:t>
      </w:r>
      <w:r>
        <w:t xml:space="preserve"> Dipl.-Ing. Ralf Bender, öff. best. und vereid. Sachverständiger für Immobilienbewertung (IHK Stuttgart)</w:t>
      </w:r>
    </w:p>
    <w:p/>
    <w:p>
      <w:pPr>
        <w:pStyle w:val="Heading2"/>
      </w:pPr>
      <w:r>
        <w:rPr>
          <w:rFonts w:ascii="Times New Roman" w:hAnsi="Times New Roman"/>
        </w:rPr>
        <w:t>1. Objekt und Lage</w:t>
      </w:r>
    </w:p>
    <w:p>
      <w:pPr>
        <w:jc w:val="left"/>
      </w:pPr>
      <w:r>
        <w:rPr>
          <w:b/>
        </w:rPr>
        <w:t>Anschrift:</w:t>
      </w:r>
      <w:r>
        <w:t xml:space="preserve"> Sonnenbergstraße 38a, 70195 Stuttgart-Degerloch</w:t>
      </w:r>
    </w:p>
    <w:p>
      <w:pPr>
        <w:jc w:val="left"/>
      </w:pPr>
      <w:r>
        <w:rPr>
          <w:b/>
        </w:rPr>
        <w:t>Grundbuch:</w:t>
      </w:r>
      <w:r>
        <w:t xml:space="preserve"> Degerloch, Blatt 1144, Flurstück 4892/7</w:t>
      </w:r>
    </w:p>
    <w:p>
      <w:pPr>
        <w:jc w:val="left"/>
      </w:pPr>
      <w:r>
        <w:rPr>
          <w:b/>
        </w:rPr>
        <w:t>Grundstücksgröße:</w:t>
      </w:r>
      <w:r>
        <w:t xml:space="preserve"> 718 qm (laut Liegenschaftskataster)</w:t>
      </w:r>
    </w:p>
    <w:p>
      <w:pPr>
        <w:jc w:val="left"/>
      </w:pPr>
      <w:r>
        <w:rPr>
          <w:b/>
        </w:rPr>
        <w:t>Bebauung:</w:t>
      </w:r>
      <w:r>
        <w:t xml:space="preserve"> Freistehendes Einfamilienhaus, Baujahr 1962 (EG + OG + Keller), Garage (Anbau 1978), Garten mit Terrasse. Wohnfläche: ca. 212 qm laut vorliegender Baubeschreibung; tatsächliche Fläche nicht nachgemessen.</w:t>
      </w:r>
    </w:p>
    <w:p>
      <w:pPr>
        <w:jc w:val="left"/>
      </w:pPr>
      <w:r>
        <w:rPr>
          <w:b/>
        </w:rPr>
        <w:t>Lage:</w:t>
      </w:r>
      <w:r>
        <w:t xml:space="preserve"> Stuttgart-Degerloch, Hangbereich mit Ausrichtung Südwest, ruhige Wohnstraße; Degerloch gilt als bevorzugte Wohnlage (Bodenrichtwert laut Gutachterausschuss Stuttgart 2024: 780 EUR/qm für freistehende Einfamilienhausbebauung, mittlere Lage Degerloch).</w:t>
      </w:r>
    </w:p>
    <w:p/>
    <w:p>
      <w:pPr>
        <w:pStyle w:val="Heading2"/>
      </w:pPr>
      <w:r>
        <w:rPr>
          <w:rFonts w:ascii="Times New Roman" w:hAnsi="Times New Roman"/>
        </w:rPr>
        <w:t>2. Bewertungsverfahren</w:t>
      </w:r>
    </w:p>
    <w:p>
      <w:pPr>
        <w:jc w:val="left"/>
      </w:pPr>
      <w:r>
        <w:t>Das Kurzgutachten verwendet das Sachwertverfahren (§§ 21 ff. ImmoWertV 2021) ergänzt durch Plausibilisierung mit Vergleichswerten.</w:t>
      </w:r>
    </w:p>
    <w:p>
      <w:pPr>
        <w:pStyle w:val="Heading3"/>
      </w:pPr>
      <w:r>
        <w:rPr>
          <w:rFonts w:ascii="Times New Roman" w:hAnsi="Times New Roman"/>
        </w:rPr>
        <w:t>2.1 Sachwertverfahren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Bodenwert (718 qm × 780 EUR/qm)</w:t>
            </w:r>
          </w:p>
        </w:tc>
        <w:tc>
          <w:tcPr>
            <w:tcW w:type="dxa" w:w="4536"/>
          </w:tcPr>
          <w:p>
            <w:r>
              <w:rPr>
                <w:rFonts w:ascii="Times New Roman" w:hAnsi="Times New Roman"/>
                <w:sz w:val="20"/>
              </w:rPr>
              <w:t>559.040 EUR</w:t>
            </w:r>
          </w:p>
        </w:tc>
      </w:tr>
      <w:tr>
        <w:tc>
          <w:tcPr>
            <w:tcW w:type="dxa" w:w="4536"/>
          </w:tcPr>
          <w:p>
            <w:r>
              <w:rPr>
                <w:rFonts w:ascii="Times New Roman" w:hAnsi="Times New Roman"/>
                <w:sz w:val="20"/>
              </w:rPr>
              <w:t>Gebäudesachwert (Neuherstellungswert 212 qm × 2.150 EUR × Alterswertminderung 38 %)</w:t>
            </w:r>
          </w:p>
        </w:tc>
        <w:tc>
          <w:tcPr>
            <w:tcW w:type="dxa" w:w="4536"/>
          </w:tcPr>
          <w:p>
            <w:r>
              <w:rPr>
                <w:rFonts w:ascii="Times New Roman" w:hAnsi="Times New Roman"/>
                <w:sz w:val="20"/>
              </w:rPr>
              <w:t>281.586 EUR</w:t>
            </w:r>
          </w:p>
        </w:tc>
      </w:tr>
      <w:tr>
        <w:tc>
          <w:tcPr>
            <w:tcW w:type="dxa" w:w="4536"/>
          </w:tcPr>
          <w:p>
            <w:r>
              <w:rPr>
                <w:rFonts w:ascii="Times New Roman" w:hAnsi="Times New Roman"/>
                <w:sz w:val="20"/>
              </w:rPr>
              <w:t>Außenanlagen, Garage</w:t>
            </w:r>
          </w:p>
        </w:tc>
        <w:tc>
          <w:tcPr>
            <w:tcW w:type="dxa" w:w="4536"/>
          </w:tcPr>
          <w:p>
            <w:r>
              <w:rPr>
                <w:rFonts w:ascii="Times New Roman" w:hAnsi="Times New Roman"/>
                <w:sz w:val="20"/>
              </w:rPr>
              <w:t>35.000 EUR</w:t>
            </w:r>
          </w:p>
        </w:tc>
      </w:tr>
      <w:tr>
        <w:tc>
          <w:tcPr>
            <w:tcW w:type="dxa" w:w="4536"/>
          </w:tcPr>
          <w:p>
            <w:r>
              <w:rPr>
                <w:rFonts w:ascii="Times New Roman" w:hAnsi="Times New Roman"/>
                <w:sz w:val="20"/>
              </w:rPr>
              <w:t>Sachwert gesamt</w:t>
            </w:r>
          </w:p>
        </w:tc>
        <w:tc>
          <w:tcPr>
            <w:tcW w:type="dxa" w:w="4536"/>
          </w:tcPr>
          <w:p>
            <w:r>
              <w:rPr>
                <w:rFonts w:ascii="Times New Roman" w:hAnsi="Times New Roman"/>
                <w:sz w:val="20"/>
              </w:rPr>
              <w:t>875.626 EUR</w:t>
            </w:r>
          </w:p>
        </w:tc>
      </w:tr>
      <w:tr>
        <w:tc>
          <w:tcPr>
            <w:tcW w:type="dxa" w:w="4536"/>
          </w:tcPr>
          <w:p>
            <w:r>
              <w:rPr>
                <w:rFonts w:ascii="Times New Roman" w:hAnsi="Times New Roman"/>
                <w:sz w:val="20"/>
              </w:rPr>
              <w:t>Marktanpassungsfaktor Degerloch (MF 2,12 lt. Kaufpreissammlung 2023/24)</w:t>
            </w:r>
          </w:p>
        </w:tc>
        <w:tc>
          <w:tcPr>
            <w:tcW w:type="dxa" w:w="4536"/>
          </w:tcPr>
          <w:p>
            <w:r>
              <w:rPr>
                <w:rFonts w:ascii="Times New Roman" w:hAnsi="Times New Roman"/>
                <w:sz w:val="20"/>
              </w:rPr>
              <w:t>× 2,12</w:t>
            </w:r>
          </w:p>
        </w:tc>
      </w:tr>
      <w:tr>
        <w:tc>
          <w:tcPr>
            <w:tcW w:type="dxa" w:w="4536"/>
          </w:tcPr>
          <w:p>
            <w:r>
              <w:rPr>
                <w:rFonts w:ascii="Times New Roman" w:hAnsi="Times New Roman"/>
                <w:b/>
                <w:sz w:val="20"/>
              </w:rPr>
              <w:t>Sachwert nach Marktanpassung</w:t>
            </w:r>
          </w:p>
        </w:tc>
        <w:tc>
          <w:tcPr>
            <w:tcW w:type="dxa" w:w="4536"/>
          </w:tcPr>
          <w:p>
            <w:r>
              <w:rPr>
                <w:rFonts w:ascii="Times New Roman" w:hAnsi="Times New Roman"/>
                <w:b/>
                <w:sz w:val="20"/>
              </w:rPr>
              <w:t>1.856.327 EUR</w:t>
            </w:r>
          </w:p>
        </w:tc>
      </w:tr>
      <w:tr>
        <w:tc>
          <w:tcPr>
            <w:tcW w:type="dxa" w:w="4536"/>
          </w:tcPr>
          <w:p>
            <w:r>
              <w:rPr>
                <w:rFonts w:ascii="Times New Roman" w:hAnsi="Times New Roman"/>
                <w:sz w:val="20"/>
              </w:rPr>
              <w:t>Rundungswert Gutachter</w:t>
            </w:r>
          </w:p>
        </w:tc>
        <w:tc>
          <w:tcPr>
            <w:tcW w:type="dxa" w:w="4536"/>
          </w:tcPr>
          <w:p>
            <w:r>
              <w:rPr>
                <w:rFonts w:ascii="Times New Roman" w:hAnsi="Times New Roman"/>
                <w:b/>
                <w:sz w:val="20"/>
              </w:rPr>
              <w:t>1.850.000 EUR</w:t>
            </w:r>
          </w:p>
        </w:tc>
      </w:tr>
    </w:tbl>
    <w:p>
      <w:pPr>
        <w:pStyle w:val="Heading3"/>
      </w:pPr>
      <w:r>
        <w:rPr>
          <w:rFonts w:ascii="Times New Roman" w:hAnsi="Times New Roman"/>
        </w:rPr>
        <w:t>2.2 Vergleichswerte</w:t>
      </w:r>
    </w:p>
    <w:p>
      <w:pPr>
        <w:jc w:val="left"/>
      </w:pPr>
      <w:r>
        <w:t>Drei Vergleichsobjekte aus der Kaufpreissammlung des Gutachterausschusses Stuttgart (anonym):</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Objekt</w:t>
            </w:r>
          </w:p>
        </w:tc>
        <w:tc>
          <w:tcPr>
            <w:tcW w:type="dxa" w:w="1512"/>
          </w:tcPr>
          <w:p>
            <w:r>
              <w:rPr>
                <w:rFonts w:ascii="Times New Roman" w:hAnsi="Times New Roman"/>
                <w:b/>
                <w:sz w:val="20"/>
              </w:rPr>
              <w:t>Lage</w:t>
            </w:r>
          </w:p>
        </w:tc>
        <w:tc>
          <w:tcPr>
            <w:tcW w:type="dxa" w:w="1512"/>
          </w:tcPr>
          <w:p>
            <w:r>
              <w:rPr>
                <w:rFonts w:ascii="Times New Roman" w:hAnsi="Times New Roman"/>
                <w:b/>
                <w:sz w:val="20"/>
              </w:rPr>
              <w:t>Fläche qm</w:t>
            </w:r>
          </w:p>
        </w:tc>
        <w:tc>
          <w:tcPr>
            <w:tcW w:type="dxa" w:w="1512"/>
          </w:tcPr>
          <w:p>
            <w:r>
              <w:rPr>
                <w:rFonts w:ascii="Times New Roman" w:hAnsi="Times New Roman"/>
                <w:b/>
                <w:sz w:val="20"/>
              </w:rPr>
              <w:t>Grundstück qm</w:t>
            </w:r>
          </w:p>
        </w:tc>
        <w:tc>
          <w:tcPr>
            <w:tcW w:type="dxa" w:w="1512"/>
          </w:tcPr>
          <w:p>
            <w:r>
              <w:rPr>
                <w:rFonts w:ascii="Times New Roman" w:hAnsi="Times New Roman"/>
                <w:b/>
                <w:sz w:val="20"/>
              </w:rPr>
              <w:t>Kaufpreis</w:t>
            </w:r>
          </w:p>
        </w:tc>
        <w:tc>
          <w:tcPr>
            <w:tcW w:type="dxa" w:w="1512"/>
          </w:tcPr>
          <w:p>
            <w:r>
              <w:rPr>
                <w:rFonts w:ascii="Times New Roman" w:hAnsi="Times New Roman"/>
                <w:b/>
                <w:sz w:val="20"/>
              </w:rPr>
              <w:t>EUR/qm Wohnfl.</w:t>
            </w:r>
          </w:p>
        </w:tc>
      </w:tr>
      <w:tr>
        <w:tc>
          <w:tcPr>
            <w:tcW w:type="dxa" w:w="1512"/>
          </w:tcPr>
          <w:p>
            <w:r>
              <w:rPr>
                <w:rFonts w:ascii="Times New Roman" w:hAnsi="Times New Roman"/>
                <w:sz w:val="20"/>
              </w:rPr>
              <w:t>V-1</w:t>
            </w:r>
          </w:p>
        </w:tc>
        <w:tc>
          <w:tcPr>
            <w:tcW w:type="dxa" w:w="1512"/>
          </w:tcPr>
          <w:p>
            <w:r>
              <w:rPr>
                <w:rFonts w:ascii="Times New Roman" w:hAnsi="Times New Roman"/>
                <w:sz w:val="20"/>
              </w:rPr>
              <w:t>Degerloch Süd</w:t>
            </w:r>
          </w:p>
        </w:tc>
        <w:tc>
          <w:tcPr>
            <w:tcW w:type="dxa" w:w="1512"/>
          </w:tcPr>
          <w:p>
            <w:r>
              <w:rPr>
                <w:rFonts w:ascii="Times New Roman" w:hAnsi="Times New Roman"/>
                <w:sz w:val="20"/>
              </w:rPr>
              <w:t>198</w:t>
            </w:r>
          </w:p>
        </w:tc>
        <w:tc>
          <w:tcPr>
            <w:tcW w:type="dxa" w:w="1512"/>
          </w:tcPr>
          <w:p>
            <w:r>
              <w:rPr>
                <w:rFonts w:ascii="Times New Roman" w:hAnsi="Times New Roman"/>
                <w:sz w:val="20"/>
              </w:rPr>
              <w:t>650</w:t>
            </w:r>
          </w:p>
        </w:tc>
        <w:tc>
          <w:tcPr>
            <w:tcW w:type="dxa" w:w="1512"/>
          </w:tcPr>
          <w:p>
            <w:r>
              <w:rPr>
                <w:rFonts w:ascii="Times New Roman" w:hAnsi="Times New Roman"/>
                <w:sz w:val="20"/>
              </w:rPr>
              <w:t>1.780.000</w:t>
            </w:r>
          </w:p>
        </w:tc>
        <w:tc>
          <w:tcPr>
            <w:tcW w:type="dxa" w:w="1512"/>
          </w:tcPr>
          <w:p>
            <w:r>
              <w:rPr>
                <w:rFonts w:ascii="Times New Roman" w:hAnsi="Times New Roman"/>
                <w:sz w:val="20"/>
              </w:rPr>
              <w:t>8.990</w:t>
            </w:r>
          </w:p>
        </w:tc>
      </w:tr>
      <w:tr>
        <w:tc>
          <w:tcPr>
            <w:tcW w:type="dxa" w:w="1512"/>
          </w:tcPr>
          <w:p>
            <w:r>
              <w:rPr>
                <w:rFonts w:ascii="Times New Roman" w:hAnsi="Times New Roman"/>
                <w:sz w:val="20"/>
              </w:rPr>
              <w:t>V-2</w:t>
            </w:r>
          </w:p>
        </w:tc>
        <w:tc>
          <w:tcPr>
            <w:tcW w:type="dxa" w:w="1512"/>
          </w:tcPr>
          <w:p>
            <w:r>
              <w:rPr>
                <w:rFonts w:ascii="Times New Roman" w:hAnsi="Times New Roman"/>
                <w:sz w:val="20"/>
              </w:rPr>
              <w:t>Degerloch-Hang</w:t>
            </w:r>
          </w:p>
        </w:tc>
        <w:tc>
          <w:tcPr>
            <w:tcW w:type="dxa" w:w="1512"/>
          </w:tcPr>
          <w:p>
            <w:r>
              <w:rPr>
                <w:rFonts w:ascii="Times New Roman" w:hAnsi="Times New Roman"/>
                <w:sz w:val="20"/>
              </w:rPr>
              <w:t>225</w:t>
            </w:r>
          </w:p>
        </w:tc>
        <w:tc>
          <w:tcPr>
            <w:tcW w:type="dxa" w:w="1512"/>
          </w:tcPr>
          <w:p>
            <w:r>
              <w:rPr>
                <w:rFonts w:ascii="Times New Roman" w:hAnsi="Times New Roman"/>
                <w:sz w:val="20"/>
              </w:rPr>
              <w:t>780</w:t>
            </w:r>
          </w:p>
        </w:tc>
        <w:tc>
          <w:tcPr>
            <w:tcW w:type="dxa" w:w="1512"/>
          </w:tcPr>
          <w:p>
            <w:r>
              <w:rPr>
                <w:rFonts w:ascii="Times New Roman" w:hAnsi="Times New Roman"/>
                <w:sz w:val="20"/>
              </w:rPr>
              <w:t>1.920.000</w:t>
            </w:r>
          </w:p>
        </w:tc>
        <w:tc>
          <w:tcPr>
            <w:tcW w:type="dxa" w:w="1512"/>
          </w:tcPr>
          <w:p>
            <w:r>
              <w:rPr>
                <w:rFonts w:ascii="Times New Roman" w:hAnsi="Times New Roman"/>
                <w:sz w:val="20"/>
              </w:rPr>
              <w:t>8.533</w:t>
            </w:r>
          </w:p>
        </w:tc>
      </w:tr>
      <w:tr>
        <w:tc>
          <w:tcPr>
            <w:tcW w:type="dxa" w:w="1512"/>
          </w:tcPr>
          <w:p>
            <w:r>
              <w:rPr>
                <w:rFonts w:ascii="Times New Roman" w:hAnsi="Times New Roman"/>
                <w:sz w:val="20"/>
              </w:rPr>
              <w:t>V-3</w:t>
            </w:r>
          </w:p>
        </w:tc>
        <w:tc>
          <w:tcPr>
            <w:tcW w:type="dxa" w:w="1512"/>
          </w:tcPr>
          <w:p>
            <w:r>
              <w:rPr>
                <w:rFonts w:ascii="Times New Roman" w:hAnsi="Times New Roman"/>
                <w:sz w:val="20"/>
              </w:rPr>
              <w:t>Degerloch-Mitte</w:t>
            </w:r>
          </w:p>
        </w:tc>
        <w:tc>
          <w:tcPr>
            <w:tcW w:type="dxa" w:w="1512"/>
          </w:tcPr>
          <w:p>
            <w:r>
              <w:rPr>
                <w:rFonts w:ascii="Times New Roman" w:hAnsi="Times New Roman"/>
                <w:sz w:val="20"/>
              </w:rPr>
              <w:t>190</w:t>
            </w:r>
          </w:p>
        </w:tc>
        <w:tc>
          <w:tcPr>
            <w:tcW w:type="dxa" w:w="1512"/>
          </w:tcPr>
          <w:p>
            <w:r>
              <w:rPr>
                <w:rFonts w:ascii="Times New Roman" w:hAnsi="Times New Roman"/>
                <w:sz w:val="20"/>
              </w:rPr>
              <w:t>580</w:t>
            </w:r>
          </w:p>
        </w:tc>
        <w:tc>
          <w:tcPr>
            <w:tcW w:type="dxa" w:w="1512"/>
          </w:tcPr>
          <w:p>
            <w:r>
              <w:rPr>
                <w:rFonts w:ascii="Times New Roman" w:hAnsi="Times New Roman"/>
                <w:sz w:val="20"/>
              </w:rPr>
              <w:t>1.620.000</w:t>
            </w:r>
          </w:p>
        </w:tc>
        <w:tc>
          <w:tcPr>
            <w:tcW w:type="dxa" w:w="1512"/>
          </w:tcPr>
          <w:p>
            <w:r>
              <w:rPr>
                <w:rFonts w:ascii="Times New Roman" w:hAnsi="Times New Roman"/>
                <w:sz w:val="20"/>
              </w:rPr>
              <w:t>8.526</w:t>
            </w:r>
          </w:p>
        </w:tc>
      </w:tr>
      <w:tr>
        <w:tc>
          <w:tcPr>
            <w:tcW w:type="dxa" w:w="1512"/>
          </w:tcPr>
          <w:p>
            <w:r>
              <w:rPr>
                <w:rFonts w:ascii="Times New Roman" w:hAnsi="Times New Roman"/>
                <w:sz w:val="20"/>
              </w:rPr>
              <w:t>Durchschnitt</w:t>
            </w:r>
          </w:p>
        </w:tc>
        <w:tc>
          <w:tcPr>
            <w:tcW w:type="dxa" w:w="1512"/>
          </w:tcPr>
          <w:p/>
        </w:tc>
        <w:tc>
          <w:tcPr>
            <w:tcW w:type="dxa" w:w="1512"/>
          </w:tcPr>
          <w:p/>
        </w:tc>
        <w:tc>
          <w:tcPr>
            <w:tcW w:type="dxa" w:w="1512"/>
          </w:tcPr>
          <w:p/>
        </w:tc>
        <w:tc>
          <w:tcPr>
            <w:tcW w:type="dxa" w:w="1512"/>
          </w:tcPr>
          <w:p/>
        </w:tc>
        <w:tc>
          <w:tcPr>
            <w:tcW w:type="dxa" w:w="1512"/>
          </w:tcPr>
          <w:p>
            <w:r>
              <w:rPr>
                <w:rFonts w:ascii="Times New Roman" w:hAnsi="Times New Roman"/>
                <w:b/>
                <w:sz w:val="20"/>
              </w:rPr>
              <w:t>8.683</w:t>
            </w:r>
          </w:p>
        </w:tc>
      </w:tr>
    </w:tbl>
    <w:p>
      <w:pPr>
        <w:jc w:val="left"/>
      </w:pPr>
      <w:r>
        <w:t xml:space="preserve">Objekt Sonnenbergstraße: 212 qm × 8.683 EUR/qm = </w:t>
      </w:r>
      <w:r>
        <w:rPr>
          <w:b/>
        </w:rPr>
        <w:t>1.840.796 EUR</w:t>
      </w:r>
      <w:r>
        <w:t xml:space="preserve"> ≈ 1.850.000 EUR — konsistent mit Sachwert.</w:t>
      </w:r>
    </w:p>
    <w:p/>
    <w:p>
      <w:pPr>
        <w:pStyle w:val="Heading2"/>
      </w:pPr>
      <w:r>
        <w:rPr>
          <w:rFonts w:ascii="Times New Roman" w:hAnsi="Times New Roman"/>
        </w:rPr>
        <w:t>3. Wohnrechtsberechnung (Barwert Vorausvermächtnis Marlies)</w:t>
      </w:r>
    </w:p>
    <w:p>
      <w:pPr>
        <w:jc w:val="left"/>
      </w:pPr>
      <w:r>
        <w:t>Das lebenslange Wohnrecht zugunsten Marlies Edelmann-Praun (geb. 09.03.1964, Alter am Stichtag: 61 Jahre) belastet das gesamte Grundstück. Für die Bewertung des Nachlasswertes bei der Pflichtteilsberechnung ist zu unterscheiden:</w:t>
      </w:r>
    </w:p>
    <w:p>
      <w:pPr>
        <w:jc w:val="left"/>
      </w:pPr>
      <w:r>
        <w:rPr>
          <w:b/>
        </w:rPr>
        <w:t>Grundsatz Pflichtteilsergänzung:</w:t>
      </w:r>
      <w:r>
        <w:t xml:space="preserve"> Der BGH hat in ständiger Rechtsprechung (zuletzt BGH 27.09.2002 IV ZR 54/01) klargestellt, dass für die Berechnung des Pflichtteilsergänzungsanspruchs der Wert des Nachlassgegenstands ohne Abzug des Wohnrechts anzusetzen ist, wenn das Wohnrecht durch Erbrecht (Vorausvermächtnis) entsteht. Das Wohnrecht gehört dann nicht zum Nachlasswert.</w:t>
      </w:r>
    </w:p>
    <w:p>
      <w:pPr>
        <w:jc w:val="left"/>
      </w:pPr>
      <w:r>
        <w:rPr>
          <w:b/>
        </w:rPr>
        <w:t>Für die Erbanteilsberechnung</w:t>
      </w:r>
      <w:r>
        <w:t xml:space="preserve"> (Auseinandersetzung unter Erben) ist der Verkehrswert des belasteten Grundstücks maßgeblich, wenn Marlies ihr Wohnrecht ausübt und das Grundstück veräußert werden soll.</w:t>
      </w:r>
    </w:p>
    <w:p>
      <w:pPr>
        <w:pStyle w:val="Heading3"/>
      </w:pPr>
      <w:r>
        <w:rPr>
          <w:rFonts w:ascii="Times New Roman" w:hAnsi="Times New Roman"/>
        </w:rPr>
        <w:t>3.1 Verkehrswert belastetes Grundstück</w:t>
      </w:r>
    </w:p>
    <w:p>
      <w:pPr>
        <w:jc w:val="left"/>
      </w:pPr>
      <w:r>
        <w:t>Der Wohnrechtsbarwert mindert den Grundstückswert beim Verkauf:</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Jahresnutzwert (Mietäquivalent für 212 qm in Degerloch, ca. 14 EUR/qm/Monat)</w:t>
            </w:r>
          </w:p>
        </w:tc>
        <w:tc>
          <w:tcPr>
            <w:tcW w:type="dxa" w:w="4536"/>
          </w:tcPr>
          <w:p>
            <w:r>
              <w:rPr>
                <w:rFonts w:ascii="Times New Roman" w:hAnsi="Times New Roman"/>
                <w:sz w:val="20"/>
              </w:rPr>
              <w:t>ca. 35.616 EUR/Jahr</w:t>
            </w:r>
          </w:p>
        </w:tc>
      </w:tr>
      <w:tr>
        <w:tc>
          <w:tcPr>
            <w:tcW w:type="dxa" w:w="4536"/>
          </w:tcPr>
          <w:p>
            <w:r>
              <w:rPr>
                <w:rFonts w:ascii="Times New Roman" w:hAnsi="Times New Roman"/>
                <w:sz w:val="20"/>
              </w:rPr>
              <w:t>Lebenserwartung Marlies (61 Jahre, Sterbetafel DAV 2004 R, weibl.): statistisch</w:t>
            </w:r>
          </w:p>
        </w:tc>
        <w:tc>
          <w:tcPr>
            <w:tcW w:type="dxa" w:w="4536"/>
          </w:tcPr>
          <w:p>
            <w:r>
              <w:rPr>
                <w:rFonts w:ascii="Times New Roman" w:hAnsi="Times New Roman"/>
                <w:sz w:val="20"/>
              </w:rPr>
              <w:t>ca. 27,4 Jahre</w:t>
            </w:r>
          </w:p>
        </w:tc>
      </w:tr>
      <w:tr>
        <w:tc>
          <w:tcPr>
            <w:tcW w:type="dxa" w:w="4536"/>
          </w:tcPr>
          <w:p>
            <w:r>
              <w:rPr>
                <w:rFonts w:ascii="Times New Roman" w:hAnsi="Times New Roman"/>
                <w:sz w:val="20"/>
              </w:rPr>
              <w:t>Rentenbarwertfaktor (3,5 % Zins, 27 Jahre Restlaufzeit)</w:t>
            </w:r>
          </w:p>
        </w:tc>
        <w:tc>
          <w:tcPr>
            <w:tcW w:type="dxa" w:w="4536"/>
          </w:tcPr>
          <w:p>
            <w:r>
              <w:rPr>
                <w:rFonts w:ascii="Times New Roman" w:hAnsi="Times New Roman"/>
                <w:sz w:val="20"/>
              </w:rPr>
              <w:t>ca. 15,84</w:t>
            </w:r>
          </w:p>
        </w:tc>
      </w:tr>
      <w:tr>
        <w:tc>
          <w:tcPr>
            <w:tcW w:type="dxa" w:w="4536"/>
          </w:tcPr>
          <w:p>
            <w:r>
              <w:rPr>
                <w:rFonts w:ascii="Times New Roman" w:hAnsi="Times New Roman"/>
                <w:b/>
                <w:sz w:val="20"/>
              </w:rPr>
              <w:t>Barwert Wohnrecht</w:t>
            </w:r>
          </w:p>
        </w:tc>
        <w:tc>
          <w:tcPr>
            <w:tcW w:type="dxa" w:w="4536"/>
          </w:tcPr>
          <w:p>
            <w:r>
              <w:rPr>
                <w:rFonts w:ascii="Times New Roman" w:hAnsi="Times New Roman"/>
                <w:b/>
                <w:sz w:val="20"/>
              </w:rPr>
              <w:t>ca. 564.157 EUR</w:t>
            </w:r>
          </w:p>
        </w:tc>
      </w:tr>
    </w:tbl>
    <w:p>
      <w:pPr>
        <w:jc w:val="left"/>
      </w:pPr>
      <w:r>
        <w:t xml:space="preserve">Hinweis: Der Barwert des Wohnrechts übersteigt rechnerisch einen erheblichen Teil des Grundstückswerts (ca. 30 %). Der bereinigte Verkehrswert für Dritte bei ausgeübtem Wohnrecht: ca. </w:t>
      </w:r>
      <w:r>
        <w:rPr>
          <w:b/>
        </w:rPr>
        <w:t>1.285.843 EUR</w:t>
      </w:r>
      <w:r>
        <w:t>. Damit wäre der Verkaufserlös für die verbleibenden Erben deutlich gemindert.</w:t>
      </w:r>
    </w:p>
    <w:p>
      <w:pPr>
        <w:pStyle w:val="Heading3"/>
      </w:pPr>
      <w:r>
        <w:rPr>
          <w:rFonts w:ascii="Times New Roman" w:hAnsi="Times New Roman"/>
        </w:rPr>
        <w:t>3.2 Streitpotenzial</w:t>
      </w:r>
    </w:p>
    <w:p>
      <w:pPr>
        <w:pStyle w:val="ListBullet"/>
      </w:pPr>
      <w:r>
        <w:t>Marlies' Anwalt Strecker behauptet (→ Aktenstück 18), das Wohnrecht erfasse nicht nur das gesamte Haus, sondern schließe auch das Recht ein, Teile des Hauses unterzuvermieten. Das ist nach § 1093 Abs. 2 BGB ausgeschlossen (kein Untervermietungsrecht ohne besondere Vereinbarung). Strecker stützt sich auf eine großzügige Auslegung des Testamentswortlauts.</w:t>
      </w:r>
    </w:p>
    <w:p>
      <w:pPr>
        <w:pStyle w:val="ListBullet"/>
      </w:pPr>
      <w:r>
        <w:t>Henrike will das Haus veräußern. Dazu müsste das Wohnrecht entweder abgelöst werden (Kaufpreis Marlies) oder Marlies muss freiwillig auszeihen. Ablöseverhandlungen wären sinnvoll, aber Marlies zeigt derzeit keine Bereitschaft.</w:t>
      </w:r>
    </w:p>
    <w:p/>
    <w:p>
      <w:pPr>
        <w:pStyle w:val="Heading2"/>
      </w:pPr>
      <w:r>
        <w:rPr>
          <w:rFonts w:ascii="Times New Roman" w:hAnsi="Times New Roman"/>
        </w:rPr>
        <w:t>4. Feststellungen des Gutachters (Auszug aus Kurzgutachten)</w:t>
      </w:r>
    </w:p>
    <w:p>
      <w:pPr>
        <w:ind w:left="567"/>
      </w:pPr>
      <w:r>
        <w:rPr>
          <w:i/>
        </w:rPr>
        <w:t>„Der vorliegende Marktwert des unbelasteten Grundstücks beläuft sich auf 1.850.000 EUR. […] Auf Wunsch der Auftraggeber wird darauf hingewiesen, dass bei Ausübung eines lebenslangen Wohnrechts durch die Berechtigte ein wesentlicher Marktwertverlust für den Veräußerungsfall einzukalkulieren ist. Eine weitere gutachterliche Stellungnahme zum Wohnrechtsbarwert kann auf Anfrage erstellt werden. […]"</w:t>
      </w:r>
    </w:p>
    <w:p/>
    <w:p>
      <w:pPr>
        <w:pStyle w:val="Heading2"/>
      </w:pPr>
      <w:r>
        <w:rPr>
          <w:rFonts w:ascii="Times New Roman" w:hAnsi="Times New Roman"/>
        </w:rPr>
        <w:t>5. Weiterer Verfahrensstand</w:t>
      </w:r>
    </w:p>
    <w:p>
      <w:pPr>
        <w:pStyle w:val="ListBullet"/>
      </w:pPr>
      <w:r>
        <w:t>Gegengutachten Marlies erwartet (beauftragt durch Strecker bei SV Klever, Stuttgart-Nord; Auftrag lt. Strecker am 02.05.2025 erteilt).</w:t>
      </w:r>
    </w:p>
    <w:p>
      <w:pPr>
        <w:pStyle w:val="ListBullet"/>
      </w:pPr>
      <w:r>
        <w:t>Grundbuchauszug aktuell noch ausstehend; wird nachgereicht.</w:t>
      </w:r>
    </w:p>
    <w:p>
      <w:pPr>
        <w:pStyle w:val="ListBullet"/>
      </w:pPr>
      <w:r>
        <w:t xml:space="preserve">Fotos Objekt → </w:t>
      </w:r>
      <w:r>
        <w:t>jpg/sonnenbergstrasse_38a_aussenansicht.jpg</w:t>
      </w:r>
      <w: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