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Krypto-Multisig-Wallet — Technisches und rechtliches Dossier</w:t>
      </w:r>
    </w:p>
    <w:p>
      <w:pPr>
        <w:jc w:val="left"/>
      </w:pPr>
      <w:r>
        <w:rPr>
          <w:b/>
        </w:rPr>
        <w:t>Az.:</w:t>
      </w:r>
      <w:r>
        <w:t xml:space="preserve"> KlKette 025/0422-ERB-EDE</w:t>
      </w:r>
    </w:p>
    <w:p>
      <w:pPr>
        <w:jc w:val="left"/>
      </w:pPr>
      <w:r>
        <w:rPr>
          <w:b/>
        </w:rPr>
        <w:t>Stand:</w:t>
      </w:r>
      <w:r>
        <w:t xml:space="preserve"> 09.05.2025</w:t>
      </w:r>
    </w:p>
    <w:p>
      <w:pPr>
        <w:jc w:val="left"/>
      </w:pPr>
      <w:r>
        <w:rPr>
          <w:b/>
        </w:rPr>
        <w:t>Bearbeitung:</w:t>
      </w:r>
      <w:r>
        <w:t xml:space="preserve"> RAin Steinkamp, technische Zuarbeit: IT-Sachverständige Petra Wandke (beratend)</w:t>
      </w:r>
    </w:p>
    <w:p/>
    <w:p>
      <w:pPr>
        <w:pStyle w:val="Heading2"/>
      </w:pPr>
      <w:r>
        <w:rPr>
          <w:rFonts w:ascii="Times New Roman" w:hAnsi="Times New Roman"/>
        </w:rPr>
        <w:t>1. Wallet-Grundstruktur</w:t>
      </w:r>
    </w:p>
    <w:p>
      <w:pPr>
        <w:jc w:val="left"/>
      </w:pPr>
      <w:r>
        <w:t xml:space="preserve">Der Erblasser verwaltete seinen Kryptovermögensbestand in einem sogenannten </w:t>
      </w:r>
      <w:r>
        <w:rPr>
          <w:b/>
        </w:rPr>
        <w:t>3-of-5-Multisig-Wallet</w:t>
      </w:r>
      <w:r>
        <w:t>. Bei einem Multisig-Wallet (Multi-Signature-Wallet) werden Transaktionen erst dann auf der Blockchain ausgeführt, wenn eine Mindestanzahl von vordefinierten privaten Schlüsseln (hier: 3 von 5) die Transaktion digital unterzeichnet haben.</w:t>
      </w:r>
    </w:p>
    <w:p>
      <w:pPr>
        <w:jc w:val="left"/>
      </w:pPr>
      <w:r>
        <w:t>Ein Zugriff oder eine Übertragung aus dem Wallet ist technisch also nur möglich, wenn mindestens 3 der 5 Schlüsselinhaber kooperieren. Kein einzelner Schlüsselinhaber kann einseitig auf die Wallet zugreifen.</w:t>
      </w:r>
    </w:p>
    <w:p/>
    <w:p>
      <w:pPr>
        <w:pStyle w:val="Heading2"/>
      </w:pPr>
      <w:r>
        <w:rPr>
          <w:rFonts w:ascii="Times New Roman" w:hAnsi="Times New Roman"/>
        </w:rPr>
        <w:t>2. Wallet-Adressen (syntaxgeprüft, intern verifiziert)</w:t>
      </w:r>
    </w:p>
    <w:p>
      <w:pPr>
        <w:pStyle w:val="Heading3"/>
      </w:pPr>
      <w:r>
        <w:rPr>
          <w:rFonts w:ascii="Times New Roman" w:hAnsi="Times New Roman"/>
        </w:rPr>
        <w:t>2.1 Bitcoin-Adressen (bech32 P2WSH)</w:t>
      </w:r>
    </w:p>
    <w:p>
      <w:pPr>
        <w:jc w:val="left"/>
      </w:pPr>
      <w:r>
        <w:t>Die Bitcoin-Wallet ist als native SegWit P2WSH-Adresse (bc1q…) implementiert, was für Multisig-Wallets auf dem Bitcoin-Netzwerk üblich ist:</w:t>
      </w:r>
    </w:p>
    <w:p>
      <w:pPr>
        <w:jc w:val="left"/>
      </w:pPr>
      <w:r>
        <w:t>```</w:t>
      </w:r>
    </w:p>
    <w:p>
      <w:pPr>
        <w:jc w:val="left"/>
      </w:pPr>
      <w:r>
        <w:t>bc1qmje7v4h8rfzpd4e3tnz6xpq9nk2wv9g0a7rkqwjfhcx2m4lsdqkfzppw8</w:t>
      </w:r>
    </w:p>
    <w:p>
      <w:pPr>
        <w:jc w:val="left"/>
      </w:pPr>
      <w:r>
        <w:t>```</w:t>
      </w:r>
    </w:p>
    <w:p>
      <w:pPr>
        <w:jc w:val="left"/>
      </w:pPr>
      <w:r>
        <w:rPr>
          <w:i/>
        </w:rPr>
        <w:t>(Anmerkung Akte: Adresse ist ein Nachlassbestand; alle On-Chain-Guthaben dieser Adresse sind Nachlass.)</w:t>
      </w:r>
    </w:p>
    <w:p>
      <w:pPr>
        <w:pStyle w:val="Heading3"/>
      </w:pPr>
      <w:r>
        <w:rPr>
          <w:rFonts w:ascii="Times New Roman" w:hAnsi="Times New Roman"/>
        </w:rPr>
        <w:t>2.2 Ethereum-Adresse</w:t>
      </w:r>
    </w:p>
    <w:p>
      <w:pPr>
        <w:jc w:val="left"/>
      </w:pPr>
      <w:r>
        <w:t>Die Ethereum-Bestände sind in einem Gnosis Safe Multisig-Contract (Ethereum Mainnet) gespeichert:</w:t>
      </w:r>
    </w:p>
    <w:p>
      <w:pPr>
        <w:jc w:val="left"/>
      </w:pPr>
      <w:r>
        <w:t>```</w:t>
      </w:r>
    </w:p>
    <w:p>
      <w:pPr>
        <w:jc w:val="left"/>
      </w:pPr>
      <w:r>
        <w:t>0x3dF9e2A4C8b1F74E6035aD7B9c2f1E8dF042cA7b</w:t>
      </w:r>
    </w:p>
    <w:p>
      <w:pPr>
        <w:jc w:val="left"/>
      </w:pPr>
      <w:r>
        <w:t>```</w:t>
      </w:r>
    </w:p>
    <w:p>
      <w:pPr>
        <w:jc w:val="left"/>
      </w:pPr>
      <w:r>
        <w:rPr>
          <w:i/>
        </w:rPr>
        <w:t>(Contract-Adresse des Gnosis Safe; Contract-Owner: 5 Schlüssel, Threshold: 3)</w:t>
      </w:r>
    </w:p>
    <w:p/>
    <w:p>
      <w:pPr>
        <w:pStyle w:val="Heading2"/>
      </w:pPr>
      <w:r>
        <w:rPr>
          <w:rFonts w:ascii="Times New Roman" w:hAnsi="Times New Roman"/>
        </w:rPr>
        <w:t>3. Schlüsselverteilung (laut Angaben Constantin, nicht vollständig verifiziert)</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sz w:val="20"/>
              </w:rPr>
              <w:t>Schlüssel</w:t>
            </w:r>
          </w:p>
        </w:tc>
        <w:tc>
          <w:tcPr>
            <w:tcW w:type="dxa" w:w="2268"/>
          </w:tcPr>
          <w:p>
            <w:r>
              <w:rPr>
                <w:rFonts w:ascii="Times New Roman" w:hAnsi="Times New Roman"/>
                <w:b/>
                <w:sz w:val="20"/>
              </w:rPr>
              <w:t>Inhaber</w:t>
            </w:r>
          </w:p>
        </w:tc>
        <w:tc>
          <w:tcPr>
            <w:tcW w:type="dxa" w:w="2268"/>
          </w:tcPr>
          <w:p>
            <w:r>
              <w:rPr>
                <w:rFonts w:ascii="Times New Roman" w:hAnsi="Times New Roman"/>
                <w:b/>
                <w:sz w:val="20"/>
              </w:rPr>
              <w:t>Verwahrungsort</w:t>
            </w:r>
          </w:p>
        </w:tc>
        <w:tc>
          <w:tcPr>
            <w:tcW w:type="dxa" w:w="2268"/>
          </w:tcPr>
          <w:p>
            <w:r>
              <w:rPr>
                <w:rFonts w:ascii="Times New Roman" w:hAnsi="Times New Roman"/>
                <w:b/>
                <w:sz w:val="20"/>
              </w:rPr>
              <w:t>Status</w:t>
            </w:r>
          </w:p>
        </w:tc>
      </w:tr>
      <w:tr>
        <w:tc>
          <w:tcPr>
            <w:tcW w:type="dxa" w:w="2268"/>
          </w:tcPr>
          <w:p>
            <w:r>
              <w:rPr>
                <w:rFonts w:ascii="Times New Roman" w:hAnsi="Times New Roman"/>
                <w:sz w:val="20"/>
              </w:rPr>
              <w:t>#1 (Erblasser)</w:t>
            </w:r>
          </w:p>
        </w:tc>
        <w:tc>
          <w:tcPr>
            <w:tcW w:type="dxa" w:w="2268"/>
          </w:tcPr>
          <w:p>
            <w:r>
              <w:rPr>
                <w:rFonts w:ascii="Times New Roman" w:hAnsi="Times New Roman"/>
                <w:sz w:val="20"/>
              </w:rPr>
              <w:t>Prof. Dr. Edelmann</w:t>
            </w:r>
          </w:p>
        </w:tc>
        <w:tc>
          <w:tcPr>
            <w:tcW w:type="dxa" w:w="2268"/>
          </w:tcPr>
          <w:p>
            <w:r>
              <w:rPr>
                <w:rFonts w:ascii="Times New Roman" w:hAnsi="Times New Roman"/>
                <w:sz w:val="20"/>
              </w:rPr>
              <w:t>Hardware-Wallet-Stick (Ledger Nano X) im Haustresoor Sonnenbergstraße 38a</w:t>
            </w:r>
          </w:p>
        </w:tc>
        <w:tc>
          <w:tcPr>
            <w:tcW w:type="dxa" w:w="2268"/>
          </w:tcPr>
          <w:p>
            <w:r>
              <w:rPr>
                <w:rFonts w:ascii="Times New Roman" w:hAnsi="Times New Roman"/>
                <w:sz w:val="20"/>
              </w:rPr>
              <w:t>Gefunden; liegt bei Marlies</w:t>
            </w:r>
          </w:p>
        </w:tc>
      </w:tr>
      <w:tr>
        <w:tc>
          <w:tcPr>
            <w:tcW w:type="dxa" w:w="2268"/>
          </w:tcPr>
          <w:p>
            <w:r>
              <w:rPr>
                <w:rFonts w:ascii="Times New Roman" w:hAnsi="Times New Roman"/>
                <w:sz w:val="20"/>
              </w:rPr>
              <w:t>#2 (Constantin)</w:t>
            </w:r>
          </w:p>
        </w:tc>
        <w:tc>
          <w:tcPr>
            <w:tcW w:type="dxa" w:w="2268"/>
          </w:tcPr>
          <w:p>
            <w:r>
              <w:rPr>
                <w:rFonts w:ascii="Times New Roman" w:hAnsi="Times New Roman"/>
                <w:sz w:val="20"/>
              </w:rPr>
              <w:t>Constantin Edelmann</w:t>
            </w:r>
          </w:p>
        </w:tc>
        <w:tc>
          <w:tcPr>
            <w:tcW w:type="dxa" w:w="2268"/>
          </w:tcPr>
          <w:p>
            <w:r>
              <w:rPr>
                <w:rFonts w:ascii="Times New Roman" w:hAnsi="Times New Roman"/>
                <w:sz w:val="20"/>
              </w:rPr>
              <w:t>Eigene Hardware-Wallet (Trezor Model T), Berlin</w:t>
            </w:r>
          </w:p>
        </w:tc>
        <w:tc>
          <w:tcPr>
            <w:tcW w:type="dxa" w:w="2268"/>
          </w:tcPr>
          <w:p>
            <w:r>
              <w:rPr>
                <w:rFonts w:ascii="Times New Roman" w:hAnsi="Times New Roman"/>
                <w:sz w:val="20"/>
              </w:rPr>
              <w:t>Vorhanden und zugänglich</w:t>
            </w:r>
          </w:p>
        </w:tc>
      </w:tr>
      <w:tr>
        <w:tc>
          <w:tcPr>
            <w:tcW w:type="dxa" w:w="2268"/>
          </w:tcPr>
          <w:p>
            <w:r>
              <w:rPr>
                <w:rFonts w:ascii="Times New Roman" w:hAnsi="Times New Roman"/>
                <w:sz w:val="20"/>
              </w:rPr>
              <w:t>#3 (Marlies)</w:t>
            </w:r>
          </w:p>
        </w:tc>
        <w:tc>
          <w:tcPr>
            <w:tcW w:type="dxa" w:w="2268"/>
          </w:tcPr>
          <w:p>
            <w:r>
              <w:rPr>
                <w:rFonts w:ascii="Times New Roman" w:hAnsi="Times New Roman"/>
                <w:sz w:val="20"/>
              </w:rPr>
              <w:t>Marlies Edelmann-Praun</w:t>
            </w:r>
          </w:p>
        </w:tc>
        <w:tc>
          <w:tcPr>
            <w:tcW w:type="dxa" w:w="2268"/>
          </w:tcPr>
          <w:p>
            <w:r>
              <w:rPr>
                <w:rFonts w:ascii="Times New Roman" w:hAnsi="Times New Roman"/>
                <w:sz w:val="20"/>
              </w:rPr>
              <w:t>Unbekannt; Marlies bestreitet, je einen Schlüssel erhalten zu haben</w:t>
            </w:r>
          </w:p>
        </w:tc>
        <w:tc>
          <w:tcPr>
            <w:tcW w:type="dxa" w:w="2268"/>
          </w:tcPr>
          <w:p>
            <w:r>
              <w:rPr>
                <w:rFonts w:ascii="Times New Roman" w:hAnsi="Times New Roman"/>
                <w:sz w:val="20"/>
              </w:rPr>
              <w:t>Streitig</w:t>
            </w:r>
          </w:p>
        </w:tc>
      </w:tr>
      <w:tr>
        <w:tc>
          <w:tcPr>
            <w:tcW w:type="dxa" w:w="2268"/>
          </w:tcPr>
          <w:p>
            <w:r>
              <w:rPr>
                <w:rFonts w:ascii="Times New Roman" w:hAnsi="Times New Roman"/>
                <w:sz w:val="20"/>
              </w:rPr>
              <w:t>#4 (RA Trotz)</w:t>
            </w:r>
          </w:p>
        </w:tc>
        <w:tc>
          <w:tcPr>
            <w:tcW w:type="dxa" w:w="2268"/>
          </w:tcPr>
          <w:p>
            <w:r>
              <w:rPr>
                <w:rFonts w:ascii="Times New Roman" w:hAnsi="Times New Roman"/>
                <w:sz w:val="20"/>
              </w:rPr>
              <w:t>RA Dr. Friedrich Trotz (†)</w:t>
            </w:r>
          </w:p>
        </w:tc>
        <w:tc>
          <w:tcPr>
            <w:tcW w:type="dxa" w:w="2268"/>
          </w:tcPr>
          <w:p>
            <w:r>
              <w:rPr>
                <w:rFonts w:ascii="Times New Roman" w:hAnsi="Times New Roman"/>
                <w:sz w:val="20"/>
              </w:rPr>
              <w:t>Kanzleinachlass? Hinterlegt bei Anwaltskammer?</w:t>
            </w:r>
          </w:p>
        </w:tc>
        <w:tc>
          <w:tcPr>
            <w:tcW w:type="dxa" w:w="2268"/>
          </w:tcPr>
          <w:p>
            <w:r>
              <w:rPr>
                <w:rFonts w:ascii="Times New Roman" w:hAnsi="Times New Roman"/>
                <w:sz w:val="20"/>
              </w:rPr>
              <w:t>Trotz verstorben Okt. 2023; Verbleib unklar</w:t>
            </w:r>
          </w:p>
        </w:tc>
      </w:tr>
      <w:tr>
        <w:tc>
          <w:tcPr>
            <w:tcW w:type="dxa" w:w="2268"/>
          </w:tcPr>
          <w:p>
            <w:r>
              <w:rPr>
                <w:rFonts w:ascii="Times New Roman" w:hAnsi="Times New Roman"/>
                <w:sz w:val="20"/>
              </w:rPr>
              <w:t>#5 (Backup)</w:t>
            </w:r>
          </w:p>
        </w:tc>
        <w:tc>
          <w:tcPr>
            <w:tcW w:type="dxa" w:w="2268"/>
          </w:tcPr>
          <w:p>
            <w:r>
              <w:rPr>
                <w:rFonts w:ascii="Times New Roman" w:hAnsi="Times New Roman"/>
                <w:sz w:val="20"/>
              </w:rPr>
              <w:t>—</w:t>
            </w:r>
          </w:p>
        </w:tc>
        <w:tc>
          <w:tcPr>
            <w:tcW w:type="dxa" w:w="2268"/>
          </w:tcPr>
          <w:p>
            <w:r>
              <w:rPr>
                <w:rFonts w:ascii="Times New Roman" w:hAnsi="Times New Roman"/>
                <w:sz w:val="20"/>
              </w:rPr>
              <w:t>Bankschließfach Nr. 441, Volksbank Esslingen, Plochinger Straße 33, 73728 Esslingen</w:t>
            </w:r>
          </w:p>
        </w:tc>
        <w:tc>
          <w:tcPr>
            <w:tcW w:type="dxa" w:w="2268"/>
          </w:tcPr>
          <w:p>
            <w:r>
              <w:rPr>
                <w:rFonts w:ascii="Times New Roman" w:hAnsi="Times New Roman"/>
                <w:sz w:val="20"/>
              </w:rPr>
              <w:t>Schließfach nur mit Erbschein zugänglich; Bank verlangt einstimmige Erbenanweisung</w:t>
            </w:r>
          </w:p>
        </w:tc>
      </w:tr>
    </w:tbl>
    <w:p/>
    <w:p>
      <w:pPr>
        <w:pStyle w:val="Heading2"/>
      </w:pPr>
      <w:r>
        <w:rPr>
          <w:rFonts w:ascii="Times New Roman" w:hAnsi="Times New Roman"/>
        </w:rPr>
        <w:t>4. Transaktionshistorie (Auszug, On-Chain verifiziert)</w:t>
      </w:r>
    </w:p>
    <w:p>
      <w:pPr>
        <w:jc w:val="left"/>
      </w:pPr>
      <w:r>
        <w:t>Die On-Chain-Daten sind öffentlich zugänglich; Transaktionsbeträge in EUR zum jeweiligen Transaktionskurs (Quelle: CoinGecko-Tageskurs):</w:t>
      </w:r>
    </w:p>
    <w:p>
      <w:pPr>
        <w:pStyle w:val="Heading3"/>
      </w:pPr>
      <w:r>
        <w:rPr>
          <w:rFonts w:ascii="Times New Roman" w:hAnsi="Times New Roman"/>
        </w:rPr>
        <w:t>4.1 Bitcoin-Wallet</w:t>
      </w:r>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tcPr>
          <w:p>
            <w:r>
              <w:rPr>
                <w:rFonts w:ascii="Times New Roman" w:hAnsi="Times New Roman"/>
                <w:b/>
                <w:sz w:val="20"/>
              </w:rPr>
              <w:t>Datum</w:t>
            </w:r>
          </w:p>
        </w:tc>
        <w:tc>
          <w:tcPr>
            <w:tcW w:type="dxa" w:w="1512"/>
          </w:tcPr>
          <w:p>
            <w:r>
              <w:rPr>
                <w:rFonts w:ascii="Times New Roman" w:hAnsi="Times New Roman"/>
                <w:b/>
                <w:sz w:val="20"/>
              </w:rPr>
              <w:t>Typ</w:t>
            </w:r>
          </w:p>
        </w:tc>
        <w:tc>
          <w:tcPr>
            <w:tcW w:type="dxa" w:w="1512"/>
          </w:tcPr>
          <w:p>
            <w:r>
              <w:rPr>
                <w:rFonts w:ascii="Times New Roman" w:hAnsi="Times New Roman"/>
                <w:b/>
                <w:sz w:val="20"/>
              </w:rPr>
              <w:t>BTC</w:t>
            </w:r>
          </w:p>
        </w:tc>
        <w:tc>
          <w:tcPr>
            <w:tcW w:type="dxa" w:w="1512"/>
          </w:tcPr>
          <w:p>
            <w:r>
              <w:rPr>
                <w:rFonts w:ascii="Times New Roman" w:hAnsi="Times New Roman"/>
                <w:b/>
                <w:sz w:val="20"/>
              </w:rPr>
              <w:t>Kurs EUR</w:t>
            </w:r>
          </w:p>
        </w:tc>
        <w:tc>
          <w:tcPr>
            <w:tcW w:type="dxa" w:w="1512"/>
          </w:tcPr>
          <w:p>
            <w:r>
              <w:rPr>
                <w:rFonts w:ascii="Times New Roman" w:hAnsi="Times New Roman"/>
                <w:b/>
                <w:sz w:val="20"/>
              </w:rPr>
              <w:t>EUR-Wert</w:t>
            </w:r>
          </w:p>
        </w:tc>
        <w:tc>
          <w:tcPr>
            <w:tcW w:type="dxa" w:w="1512"/>
          </w:tcPr>
          <w:p>
            <w:r>
              <w:rPr>
                <w:rFonts w:ascii="Times New Roman" w:hAnsi="Times New Roman"/>
                <w:b/>
                <w:sz w:val="20"/>
              </w:rPr>
              <w:t>Gegenseite</w:t>
            </w:r>
          </w:p>
        </w:tc>
      </w:tr>
      <w:tr>
        <w:tc>
          <w:tcPr>
            <w:tcW w:type="dxa" w:w="1512"/>
          </w:tcPr>
          <w:p>
            <w:r>
              <w:rPr>
                <w:rFonts w:ascii="Times New Roman" w:hAnsi="Times New Roman"/>
                <w:sz w:val="20"/>
              </w:rPr>
              <w:t>15.04.2019</w:t>
            </w:r>
          </w:p>
        </w:tc>
        <w:tc>
          <w:tcPr>
            <w:tcW w:type="dxa" w:w="1512"/>
          </w:tcPr>
          <w:p>
            <w:r>
              <w:rPr>
                <w:rFonts w:ascii="Times New Roman" w:hAnsi="Times New Roman"/>
                <w:sz w:val="20"/>
              </w:rPr>
              <w:t>Einzahlung</w:t>
            </w:r>
          </w:p>
        </w:tc>
        <w:tc>
          <w:tcPr>
            <w:tcW w:type="dxa" w:w="1512"/>
          </w:tcPr>
          <w:p>
            <w:r>
              <w:rPr>
                <w:rFonts w:ascii="Times New Roman" w:hAnsi="Times New Roman"/>
                <w:sz w:val="20"/>
              </w:rPr>
              <w:t>+12,50 BTC</w:t>
            </w:r>
          </w:p>
        </w:tc>
        <w:tc>
          <w:tcPr>
            <w:tcW w:type="dxa" w:w="1512"/>
          </w:tcPr>
          <w:p>
            <w:r>
              <w:rPr>
                <w:rFonts w:ascii="Times New Roman" w:hAnsi="Times New Roman"/>
                <w:sz w:val="20"/>
              </w:rPr>
              <w:t>4.280 EUR</w:t>
            </w:r>
          </w:p>
        </w:tc>
        <w:tc>
          <w:tcPr>
            <w:tcW w:type="dxa" w:w="1512"/>
          </w:tcPr>
          <w:p>
            <w:r>
              <w:rPr>
                <w:rFonts w:ascii="Times New Roman" w:hAnsi="Times New Roman"/>
                <w:sz w:val="20"/>
              </w:rPr>
              <w:t>53.500 EUR</w:t>
            </w:r>
          </w:p>
        </w:tc>
        <w:tc>
          <w:tcPr>
            <w:tcW w:type="dxa" w:w="1512"/>
          </w:tcPr>
          <w:p>
            <w:r>
              <w:rPr>
                <w:rFonts w:ascii="Times New Roman" w:hAnsi="Times New Roman"/>
                <w:sz w:val="20"/>
              </w:rPr>
              <w:t>Kauf über Börse (Coinbase Pro)</w:t>
            </w:r>
          </w:p>
        </w:tc>
      </w:tr>
      <w:tr>
        <w:tc>
          <w:tcPr>
            <w:tcW w:type="dxa" w:w="1512"/>
          </w:tcPr>
          <w:p>
            <w:r>
              <w:rPr>
                <w:rFonts w:ascii="Times New Roman" w:hAnsi="Times New Roman"/>
                <w:sz w:val="20"/>
              </w:rPr>
              <w:t>18.11.2020</w:t>
            </w:r>
          </w:p>
        </w:tc>
        <w:tc>
          <w:tcPr>
            <w:tcW w:type="dxa" w:w="1512"/>
          </w:tcPr>
          <w:p>
            <w:r>
              <w:rPr>
                <w:rFonts w:ascii="Times New Roman" w:hAnsi="Times New Roman"/>
                <w:sz w:val="20"/>
              </w:rPr>
              <w:t>Einzahlung</w:t>
            </w:r>
          </w:p>
        </w:tc>
        <w:tc>
          <w:tcPr>
            <w:tcW w:type="dxa" w:w="1512"/>
          </w:tcPr>
          <w:p>
            <w:r>
              <w:rPr>
                <w:rFonts w:ascii="Times New Roman" w:hAnsi="Times New Roman"/>
                <w:sz w:val="20"/>
              </w:rPr>
              <w:t>+3,20 BTC</w:t>
            </w:r>
          </w:p>
        </w:tc>
        <w:tc>
          <w:tcPr>
            <w:tcW w:type="dxa" w:w="1512"/>
          </w:tcPr>
          <w:p>
            <w:r>
              <w:rPr>
                <w:rFonts w:ascii="Times New Roman" w:hAnsi="Times New Roman"/>
                <w:sz w:val="20"/>
              </w:rPr>
              <w:t>13.150 EUR</w:t>
            </w:r>
          </w:p>
        </w:tc>
        <w:tc>
          <w:tcPr>
            <w:tcW w:type="dxa" w:w="1512"/>
          </w:tcPr>
          <w:p>
            <w:r>
              <w:rPr>
                <w:rFonts w:ascii="Times New Roman" w:hAnsi="Times New Roman"/>
                <w:sz w:val="20"/>
              </w:rPr>
              <w:t>42.080 EUR</w:t>
            </w:r>
          </w:p>
        </w:tc>
        <w:tc>
          <w:tcPr>
            <w:tcW w:type="dxa" w:w="1512"/>
          </w:tcPr>
          <w:p>
            <w:r>
              <w:rPr>
                <w:rFonts w:ascii="Times New Roman" w:hAnsi="Times New Roman"/>
                <w:sz w:val="20"/>
              </w:rPr>
              <w:t>Kauf, Quelle unklar</w:t>
            </w:r>
          </w:p>
        </w:tc>
      </w:tr>
      <w:tr>
        <w:tc>
          <w:tcPr>
            <w:tcW w:type="dxa" w:w="1512"/>
          </w:tcPr>
          <w:p>
            <w:r>
              <w:rPr>
                <w:rFonts w:ascii="Times New Roman" w:hAnsi="Times New Roman"/>
                <w:sz w:val="20"/>
              </w:rPr>
              <w:t>07.02.2021</w:t>
            </w:r>
          </w:p>
        </w:tc>
        <w:tc>
          <w:tcPr>
            <w:tcW w:type="dxa" w:w="1512"/>
          </w:tcPr>
          <w:p>
            <w:r>
              <w:rPr>
                <w:rFonts w:ascii="Times New Roman" w:hAnsi="Times New Roman"/>
                <w:sz w:val="20"/>
              </w:rPr>
              <w:t>Auszahlung</w:t>
            </w:r>
          </w:p>
        </w:tc>
        <w:tc>
          <w:tcPr>
            <w:tcW w:type="dxa" w:w="1512"/>
          </w:tcPr>
          <w:p>
            <w:r>
              <w:rPr>
                <w:rFonts w:ascii="Times New Roman" w:hAnsi="Times New Roman"/>
                <w:sz w:val="20"/>
              </w:rPr>
              <w:t>−0,80 BTC</w:t>
            </w:r>
          </w:p>
        </w:tc>
        <w:tc>
          <w:tcPr>
            <w:tcW w:type="dxa" w:w="1512"/>
          </w:tcPr>
          <w:p>
            <w:r>
              <w:rPr>
                <w:rFonts w:ascii="Times New Roman" w:hAnsi="Times New Roman"/>
                <w:sz w:val="20"/>
              </w:rPr>
              <w:t>38.600 EUR</w:t>
            </w:r>
          </w:p>
        </w:tc>
        <w:tc>
          <w:tcPr>
            <w:tcW w:type="dxa" w:w="1512"/>
          </w:tcPr>
          <w:p>
            <w:r>
              <w:rPr>
                <w:rFonts w:ascii="Times New Roman" w:hAnsi="Times New Roman"/>
                <w:sz w:val="20"/>
              </w:rPr>
              <w:t>30.880 EUR</w:t>
            </w:r>
          </w:p>
        </w:tc>
        <w:tc>
          <w:tcPr>
            <w:tcW w:type="dxa" w:w="1512"/>
          </w:tcPr>
          <w:p>
            <w:r>
              <w:rPr>
                <w:rFonts w:ascii="Times New Roman" w:hAnsi="Times New Roman"/>
                <w:sz w:val="20"/>
              </w:rPr>
              <w:t>Empfängeradresse: bc1q7v…9r3 (= Constantin-Wallet?)</w:t>
            </w:r>
          </w:p>
        </w:tc>
      </w:tr>
      <w:tr>
        <w:tc>
          <w:tcPr>
            <w:tcW w:type="dxa" w:w="1512"/>
          </w:tcPr>
          <w:p>
            <w:r>
              <w:rPr>
                <w:rFonts w:ascii="Times New Roman" w:hAnsi="Times New Roman"/>
                <w:sz w:val="20"/>
              </w:rPr>
              <w:t>12.12.2022</w:t>
            </w:r>
          </w:p>
        </w:tc>
        <w:tc>
          <w:tcPr>
            <w:tcW w:type="dxa" w:w="1512"/>
          </w:tcPr>
          <w:p>
            <w:r>
              <w:rPr>
                <w:rFonts w:ascii="Times New Roman" w:hAnsi="Times New Roman"/>
                <w:sz w:val="20"/>
              </w:rPr>
              <w:t>Auszahlung</w:t>
            </w:r>
          </w:p>
        </w:tc>
        <w:tc>
          <w:tcPr>
            <w:tcW w:type="dxa" w:w="1512"/>
          </w:tcPr>
          <w:p>
            <w:r>
              <w:rPr>
                <w:rFonts w:ascii="Times New Roman" w:hAnsi="Times New Roman"/>
                <w:sz w:val="20"/>
              </w:rPr>
              <w:t>−1,20 BTC</w:t>
            </w:r>
          </w:p>
        </w:tc>
        <w:tc>
          <w:tcPr>
            <w:tcW w:type="dxa" w:w="1512"/>
          </w:tcPr>
          <w:p>
            <w:r>
              <w:rPr>
                <w:rFonts w:ascii="Times New Roman" w:hAnsi="Times New Roman"/>
                <w:sz w:val="20"/>
              </w:rPr>
              <w:t>16.200 EUR</w:t>
            </w:r>
          </w:p>
        </w:tc>
        <w:tc>
          <w:tcPr>
            <w:tcW w:type="dxa" w:w="1512"/>
          </w:tcPr>
          <w:p>
            <w:r>
              <w:rPr>
                <w:rFonts w:ascii="Times New Roman" w:hAnsi="Times New Roman"/>
                <w:sz w:val="20"/>
              </w:rPr>
              <w:t>19.440 EUR</w:t>
            </w:r>
          </w:p>
        </w:tc>
        <w:tc>
          <w:tcPr>
            <w:tcW w:type="dxa" w:w="1512"/>
          </w:tcPr>
          <w:p>
            <w:r>
              <w:rPr>
                <w:rFonts w:ascii="Times New Roman" w:hAnsi="Times New Roman"/>
                <w:sz w:val="20"/>
              </w:rPr>
              <w:t>Empfängeradresse: bc1q3n…4kp (= Constantin-Wallet?)</w:t>
            </w:r>
          </w:p>
        </w:tc>
      </w:tr>
      <w:tr>
        <w:tc>
          <w:tcPr>
            <w:tcW w:type="dxa" w:w="1512"/>
          </w:tcPr>
          <w:p>
            <w:r>
              <w:rPr>
                <w:rFonts w:ascii="Times New Roman" w:hAnsi="Times New Roman"/>
                <w:sz w:val="20"/>
              </w:rPr>
              <w:t>22.03.2024</w:t>
            </w:r>
          </w:p>
        </w:tc>
        <w:tc>
          <w:tcPr>
            <w:tcW w:type="dxa" w:w="1512"/>
          </w:tcPr>
          <w:p>
            <w:r>
              <w:rPr>
                <w:rFonts w:ascii="Times New Roman" w:hAnsi="Times New Roman"/>
                <w:sz w:val="20"/>
              </w:rPr>
              <w:t>Einzahlung</w:t>
            </w:r>
          </w:p>
        </w:tc>
        <w:tc>
          <w:tcPr>
            <w:tcW w:type="dxa" w:w="1512"/>
          </w:tcPr>
          <w:p>
            <w:r>
              <w:rPr>
                <w:rFonts w:ascii="Times New Roman" w:hAnsi="Times New Roman"/>
                <w:sz w:val="20"/>
              </w:rPr>
              <w:t>+0,50 BTC</w:t>
            </w:r>
          </w:p>
        </w:tc>
        <w:tc>
          <w:tcPr>
            <w:tcW w:type="dxa" w:w="1512"/>
          </w:tcPr>
          <w:p>
            <w:r>
              <w:rPr>
                <w:rFonts w:ascii="Times New Roman" w:hAnsi="Times New Roman"/>
                <w:sz w:val="20"/>
              </w:rPr>
              <w:t>62.400 EUR</w:t>
            </w:r>
          </w:p>
        </w:tc>
        <w:tc>
          <w:tcPr>
            <w:tcW w:type="dxa" w:w="1512"/>
          </w:tcPr>
          <w:p>
            <w:r>
              <w:rPr>
                <w:rFonts w:ascii="Times New Roman" w:hAnsi="Times New Roman"/>
                <w:sz w:val="20"/>
              </w:rPr>
              <w:t>31.200 EUR</w:t>
            </w:r>
          </w:p>
        </w:tc>
        <w:tc>
          <w:tcPr>
            <w:tcW w:type="dxa" w:w="1512"/>
          </w:tcPr>
          <w:p>
            <w:r>
              <w:rPr>
                <w:rFonts w:ascii="Times New Roman" w:hAnsi="Times New Roman"/>
                <w:sz w:val="20"/>
              </w:rPr>
              <w:t>Kauf</w:t>
            </w:r>
          </w:p>
        </w:tc>
      </w:tr>
      <w:tr>
        <w:tc>
          <w:tcPr>
            <w:tcW w:type="dxa" w:w="1512"/>
          </w:tcPr>
          <w:p>
            <w:r>
              <w:rPr>
                <w:rFonts w:ascii="Times New Roman" w:hAnsi="Times New Roman"/>
                <w:b/>
                <w:sz w:val="20"/>
              </w:rPr>
              <w:t>Stand 12.03.2025</w:t>
            </w:r>
          </w:p>
        </w:tc>
        <w:tc>
          <w:tcPr>
            <w:tcW w:type="dxa" w:w="1512"/>
          </w:tcPr>
          <w:p/>
        </w:tc>
        <w:tc>
          <w:tcPr>
            <w:tcW w:type="dxa" w:w="1512"/>
          </w:tcPr>
          <w:p>
            <w:r>
              <w:rPr>
                <w:rFonts w:ascii="Times New Roman" w:hAnsi="Times New Roman"/>
                <w:b/>
                <w:sz w:val="20"/>
              </w:rPr>
              <w:t>14,20 BTC</w:t>
            </w:r>
          </w:p>
        </w:tc>
        <w:tc>
          <w:tcPr>
            <w:tcW w:type="dxa" w:w="1512"/>
          </w:tcPr>
          <w:p>
            <w:r>
              <w:rPr>
                <w:rFonts w:ascii="Times New Roman" w:hAnsi="Times New Roman"/>
                <w:sz w:val="20"/>
              </w:rPr>
              <w:t>60.850 EUR</w:t>
            </w:r>
          </w:p>
        </w:tc>
        <w:tc>
          <w:tcPr>
            <w:tcW w:type="dxa" w:w="1512"/>
          </w:tcPr>
          <w:p>
            <w:r>
              <w:rPr>
                <w:rFonts w:ascii="Times New Roman" w:hAnsi="Times New Roman"/>
                <w:b/>
                <w:sz w:val="20"/>
              </w:rPr>
              <w:t>864.070 EUR</w:t>
            </w:r>
          </w:p>
        </w:tc>
        <w:tc>
          <w:tcPr>
            <w:tcW w:type="dxa" w:w="1512"/>
          </w:tcPr>
          <w:p/>
        </w:tc>
      </w:tr>
    </w:tbl>
    <w:p>
      <w:pPr>
        <w:pStyle w:val="Heading3"/>
      </w:pPr>
      <w:r>
        <w:rPr>
          <w:rFonts w:ascii="Times New Roman" w:hAnsi="Times New Roman"/>
        </w:rPr>
        <w:t>4.2 Ethereum-Wallet (Gnosis Safe)</w:t>
      </w:r>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tcPr>
          <w:p>
            <w:r>
              <w:rPr>
                <w:rFonts w:ascii="Times New Roman" w:hAnsi="Times New Roman"/>
                <w:b/>
                <w:sz w:val="20"/>
              </w:rPr>
              <w:t>Datum</w:t>
            </w:r>
          </w:p>
        </w:tc>
        <w:tc>
          <w:tcPr>
            <w:tcW w:type="dxa" w:w="1512"/>
          </w:tcPr>
          <w:p>
            <w:r>
              <w:rPr>
                <w:rFonts w:ascii="Times New Roman" w:hAnsi="Times New Roman"/>
                <w:b/>
                <w:sz w:val="20"/>
              </w:rPr>
              <w:t>Typ</w:t>
            </w:r>
          </w:p>
        </w:tc>
        <w:tc>
          <w:tcPr>
            <w:tcW w:type="dxa" w:w="1512"/>
          </w:tcPr>
          <w:p>
            <w:r>
              <w:rPr>
                <w:rFonts w:ascii="Times New Roman" w:hAnsi="Times New Roman"/>
                <w:b/>
                <w:sz w:val="20"/>
              </w:rPr>
              <w:t>ETH</w:t>
            </w:r>
          </w:p>
        </w:tc>
        <w:tc>
          <w:tcPr>
            <w:tcW w:type="dxa" w:w="1512"/>
          </w:tcPr>
          <w:p>
            <w:r>
              <w:rPr>
                <w:rFonts w:ascii="Times New Roman" w:hAnsi="Times New Roman"/>
                <w:b/>
                <w:sz w:val="20"/>
              </w:rPr>
              <w:t>Kurs EUR</w:t>
            </w:r>
          </w:p>
        </w:tc>
        <w:tc>
          <w:tcPr>
            <w:tcW w:type="dxa" w:w="1512"/>
          </w:tcPr>
          <w:p>
            <w:r>
              <w:rPr>
                <w:rFonts w:ascii="Times New Roman" w:hAnsi="Times New Roman"/>
                <w:b/>
                <w:sz w:val="20"/>
              </w:rPr>
              <w:t>EUR-Wert</w:t>
            </w:r>
          </w:p>
        </w:tc>
        <w:tc>
          <w:tcPr>
            <w:tcW w:type="dxa" w:w="1512"/>
          </w:tcPr>
          <w:p>
            <w:r>
              <w:rPr>
                <w:rFonts w:ascii="Times New Roman" w:hAnsi="Times New Roman"/>
                <w:b/>
                <w:sz w:val="20"/>
              </w:rPr>
              <w:t>Gegenseite</w:t>
            </w:r>
          </w:p>
        </w:tc>
      </w:tr>
      <w:tr>
        <w:tc>
          <w:tcPr>
            <w:tcW w:type="dxa" w:w="1512"/>
          </w:tcPr>
          <w:p>
            <w:r>
              <w:rPr>
                <w:rFonts w:ascii="Times New Roman" w:hAnsi="Times New Roman"/>
                <w:sz w:val="20"/>
              </w:rPr>
              <w:t>08.09.2020</w:t>
            </w:r>
          </w:p>
        </w:tc>
        <w:tc>
          <w:tcPr>
            <w:tcW w:type="dxa" w:w="1512"/>
          </w:tcPr>
          <w:p>
            <w:r>
              <w:rPr>
                <w:rFonts w:ascii="Times New Roman" w:hAnsi="Times New Roman"/>
                <w:sz w:val="20"/>
              </w:rPr>
              <w:t>Einzahlung</w:t>
            </w:r>
          </w:p>
        </w:tc>
        <w:tc>
          <w:tcPr>
            <w:tcW w:type="dxa" w:w="1512"/>
          </w:tcPr>
          <w:p>
            <w:r>
              <w:rPr>
                <w:rFonts w:ascii="Times New Roman" w:hAnsi="Times New Roman"/>
                <w:sz w:val="20"/>
              </w:rPr>
              <w:t>+80,00 ETH</w:t>
            </w:r>
          </w:p>
        </w:tc>
        <w:tc>
          <w:tcPr>
            <w:tcW w:type="dxa" w:w="1512"/>
          </w:tcPr>
          <w:p>
            <w:r>
              <w:rPr>
                <w:rFonts w:ascii="Times New Roman" w:hAnsi="Times New Roman"/>
                <w:sz w:val="20"/>
              </w:rPr>
              <w:t>310 EUR</w:t>
            </w:r>
          </w:p>
        </w:tc>
        <w:tc>
          <w:tcPr>
            <w:tcW w:type="dxa" w:w="1512"/>
          </w:tcPr>
          <w:p>
            <w:r>
              <w:rPr>
                <w:rFonts w:ascii="Times New Roman" w:hAnsi="Times New Roman"/>
                <w:sz w:val="20"/>
              </w:rPr>
              <w:t>24.800 EUR</w:t>
            </w:r>
          </w:p>
        </w:tc>
        <w:tc>
          <w:tcPr>
            <w:tcW w:type="dxa" w:w="1512"/>
          </w:tcPr>
          <w:p>
            <w:r>
              <w:rPr>
                <w:rFonts w:ascii="Times New Roman" w:hAnsi="Times New Roman"/>
                <w:sz w:val="20"/>
              </w:rPr>
              <w:t>Kauf</w:t>
            </w:r>
          </w:p>
        </w:tc>
      </w:tr>
      <w:tr>
        <w:tc>
          <w:tcPr>
            <w:tcW w:type="dxa" w:w="1512"/>
          </w:tcPr>
          <w:p>
            <w:r>
              <w:rPr>
                <w:rFonts w:ascii="Times New Roman" w:hAnsi="Times New Roman"/>
                <w:sz w:val="20"/>
              </w:rPr>
              <w:t>14.02.2021</w:t>
            </w:r>
          </w:p>
        </w:tc>
        <w:tc>
          <w:tcPr>
            <w:tcW w:type="dxa" w:w="1512"/>
          </w:tcPr>
          <w:p>
            <w:r>
              <w:rPr>
                <w:rFonts w:ascii="Times New Roman" w:hAnsi="Times New Roman"/>
                <w:sz w:val="20"/>
              </w:rPr>
              <w:t>Einzahlung</w:t>
            </w:r>
          </w:p>
        </w:tc>
        <w:tc>
          <w:tcPr>
            <w:tcW w:type="dxa" w:w="1512"/>
          </w:tcPr>
          <w:p>
            <w:r>
              <w:rPr>
                <w:rFonts w:ascii="Times New Roman" w:hAnsi="Times New Roman"/>
                <w:sz w:val="20"/>
              </w:rPr>
              <w:t>+40,00 ETH</w:t>
            </w:r>
          </w:p>
        </w:tc>
        <w:tc>
          <w:tcPr>
            <w:tcW w:type="dxa" w:w="1512"/>
          </w:tcPr>
          <w:p>
            <w:r>
              <w:rPr>
                <w:rFonts w:ascii="Times New Roman" w:hAnsi="Times New Roman"/>
                <w:sz w:val="20"/>
              </w:rPr>
              <w:t>1.210 EUR</w:t>
            </w:r>
          </w:p>
        </w:tc>
        <w:tc>
          <w:tcPr>
            <w:tcW w:type="dxa" w:w="1512"/>
          </w:tcPr>
          <w:p>
            <w:r>
              <w:rPr>
                <w:rFonts w:ascii="Times New Roman" w:hAnsi="Times New Roman"/>
                <w:sz w:val="20"/>
              </w:rPr>
              <w:t>48.400 EUR</w:t>
            </w:r>
          </w:p>
        </w:tc>
        <w:tc>
          <w:tcPr>
            <w:tcW w:type="dxa" w:w="1512"/>
          </w:tcPr>
          <w:p>
            <w:r>
              <w:rPr>
                <w:rFonts w:ascii="Times New Roman" w:hAnsi="Times New Roman"/>
                <w:sz w:val="20"/>
              </w:rPr>
              <w:t>Kauf</w:t>
            </w:r>
          </w:p>
        </w:tc>
      </w:tr>
      <w:tr>
        <w:tc>
          <w:tcPr>
            <w:tcW w:type="dxa" w:w="1512"/>
          </w:tcPr>
          <w:p>
            <w:r>
              <w:rPr>
                <w:rFonts w:ascii="Times New Roman" w:hAnsi="Times New Roman"/>
                <w:sz w:val="20"/>
              </w:rPr>
              <w:t>23.12.2022</w:t>
            </w:r>
          </w:p>
        </w:tc>
        <w:tc>
          <w:tcPr>
            <w:tcW w:type="dxa" w:w="1512"/>
          </w:tcPr>
          <w:p>
            <w:r>
              <w:rPr>
                <w:rFonts w:ascii="Times New Roman" w:hAnsi="Times New Roman"/>
                <w:sz w:val="20"/>
              </w:rPr>
              <w:t>Auszahlung</w:t>
            </w:r>
          </w:p>
        </w:tc>
        <w:tc>
          <w:tcPr>
            <w:tcW w:type="dxa" w:w="1512"/>
          </w:tcPr>
          <w:p>
            <w:r>
              <w:rPr>
                <w:rFonts w:ascii="Times New Roman" w:hAnsi="Times New Roman"/>
                <w:sz w:val="20"/>
              </w:rPr>
              <w:t>−8,00 ETH</w:t>
            </w:r>
          </w:p>
        </w:tc>
        <w:tc>
          <w:tcPr>
            <w:tcW w:type="dxa" w:w="1512"/>
          </w:tcPr>
          <w:p>
            <w:r>
              <w:rPr>
                <w:rFonts w:ascii="Times New Roman" w:hAnsi="Times New Roman"/>
                <w:sz w:val="20"/>
              </w:rPr>
              <w:t>1.180 EUR</w:t>
            </w:r>
          </w:p>
        </w:tc>
        <w:tc>
          <w:tcPr>
            <w:tcW w:type="dxa" w:w="1512"/>
          </w:tcPr>
          <w:p>
            <w:r>
              <w:rPr>
                <w:rFonts w:ascii="Times New Roman" w:hAnsi="Times New Roman"/>
                <w:sz w:val="20"/>
              </w:rPr>
              <w:t>9.440 EUR</w:t>
            </w:r>
          </w:p>
        </w:tc>
        <w:tc>
          <w:tcPr>
            <w:tcW w:type="dxa" w:w="1512"/>
          </w:tcPr>
          <w:p>
            <w:r>
              <w:rPr>
                <w:rFonts w:ascii="Times New Roman" w:hAnsi="Times New Roman"/>
                <w:sz w:val="20"/>
              </w:rPr>
              <w:t>Empfänger: 0x9aF7…2bC1 (= Constantin?)</w:t>
            </w:r>
          </w:p>
        </w:tc>
      </w:tr>
      <w:tr>
        <w:tc>
          <w:tcPr>
            <w:tcW w:type="dxa" w:w="1512"/>
          </w:tcPr>
          <w:p>
            <w:r>
              <w:rPr>
                <w:rFonts w:ascii="Times New Roman" w:hAnsi="Times New Roman"/>
                <w:sz w:val="20"/>
              </w:rPr>
              <w:t>15.03.2024</w:t>
            </w:r>
          </w:p>
        </w:tc>
        <w:tc>
          <w:tcPr>
            <w:tcW w:type="dxa" w:w="1512"/>
          </w:tcPr>
          <w:p>
            <w:r>
              <w:rPr>
                <w:rFonts w:ascii="Times New Roman" w:hAnsi="Times New Roman"/>
                <w:sz w:val="20"/>
              </w:rPr>
              <w:t>Auszahlung</w:t>
            </w:r>
          </w:p>
        </w:tc>
        <w:tc>
          <w:tcPr>
            <w:tcW w:type="dxa" w:w="1512"/>
          </w:tcPr>
          <w:p>
            <w:r>
              <w:rPr>
                <w:rFonts w:ascii="Times New Roman" w:hAnsi="Times New Roman"/>
                <w:sz w:val="20"/>
              </w:rPr>
              <w:t>−2,00 ETH</w:t>
            </w:r>
          </w:p>
        </w:tc>
        <w:tc>
          <w:tcPr>
            <w:tcW w:type="dxa" w:w="1512"/>
          </w:tcPr>
          <w:p>
            <w:r>
              <w:rPr>
                <w:rFonts w:ascii="Times New Roman" w:hAnsi="Times New Roman"/>
                <w:sz w:val="20"/>
              </w:rPr>
              <w:t>3.120 EUR</w:t>
            </w:r>
          </w:p>
        </w:tc>
        <w:tc>
          <w:tcPr>
            <w:tcW w:type="dxa" w:w="1512"/>
          </w:tcPr>
          <w:p>
            <w:r>
              <w:rPr>
                <w:rFonts w:ascii="Times New Roman" w:hAnsi="Times New Roman"/>
                <w:sz w:val="20"/>
              </w:rPr>
              <w:t>6.240 EUR</w:t>
            </w:r>
          </w:p>
        </w:tc>
        <w:tc>
          <w:tcPr>
            <w:tcW w:type="dxa" w:w="1512"/>
          </w:tcPr>
          <w:p>
            <w:r>
              <w:rPr>
                <w:rFonts w:ascii="Times New Roman" w:hAnsi="Times New Roman"/>
                <w:sz w:val="20"/>
              </w:rPr>
              <w:t>Empfänger: 0x9aF7…2bC1</w:t>
            </w:r>
          </w:p>
        </w:tc>
      </w:tr>
      <w:tr>
        <w:tc>
          <w:tcPr>
            <w:tcW w:type="dxa" w:w="1512"/>
          </w:tcPr>
          <w:p>
            <w:r>
              <w:rPr>
                <w:rFonts w:ascii="Times New Roman" w:hAnsi="Times New Roman"/>
                <w:sz w:val="20"/>
              </w:rPr>
              <w:t>04.07.2024</w:t>
            </w:r>
          </w:p>
        </w:tc>
        <w:tc>
          <w:tcPr>
            <w:tcW w:type="dxa" w:w="1512"/>
          </w:tcPr>
          <w:p>
            <w:r>
              <w:rPr>
                <w:rFonts w:ascii="Times New Roman" w:hAnsi="Times New Roman"/>
                <w:sz w:val="20"/>
              </w:rPr>
              <w:t>Einzahlung</w:t>
            </w:r>
          </w:p>
        </w:tc>
        <w:tc>
          <w:tcPr>
            <w:tcW w:type="dxa" w:w="1512"/>
          </w:tcPr>
          <w:p>
            <w:r>
              <w:rPr>
                <w:rFonts w:ascii="Times New Roman" w:hAnsi="Times New Roman"/>
                <w:sz w:val="20"/>
              </w:rPr>
              <w:t>+35,50 ETH</w:t>
            </w:r>
          </w:p>
        </w:tc>
        <w:tc>
          <w:tcPr>
            <w:tcW w:type="dxa" w:w="1512"/>
          </w:tcPr>
          <w:p>
            <w:r>
              <w:rPr>
                <w:rFonts w:ascii="Times New Roman" w:hAnsi="Times New Roman"/>
                <w:sz w:val="20"/>
              </w:rPr>
              <w:t>2.890 EUR</w:t>
            </w:r>
          </w:p>
        </w:tc>
        <w:tc>
          <w:tcPr>
            <w:tcW w:type="dxa" w:w="1512"/>
          </w:tcPr>
          <w:p>
            <w:r>
              <w:rPr>
                <w:rFonts w:ascii="Times New Roman" w:hAnsi="Times New Roman"/>
                <w:sz w:val="20"/>
              </w:rPr>
              <w:t>102.595 EUR</w:t>
            </w:r>
          </w:p>
        </w:tc>
        <w:tc>
          <w:tcPr>
            <w:tcW w:type="dxa" w:w="1512"/>
          </w:tcPr>
          <w:p>
            <w:r>
              <w:rPr>
                <w:rFonts w:ascii="Times New Roman" w:hAnsi="Times New Roman"/>
                <w:sz w:val="20"/>
              </w:rPr>
              <w:t>Kauf, Herkunft unklar</w:t>
            </w:r>
          </w:p>
        </w:tc>
      </w:tr>
      <w:tr>
        <w:tc>
          <w:tcPr>
            <w:tcW w:type="dxa" w:w="1512"/>
          </w:tcPr>
          <w:p>
            <w:r>
              <w:rPr>
                <w:rFonts w:ascii="Times New Roman" w:hAnsi="Times New Roman"/>
                <w:b/>
                <w:sz w:val="20"/>
              </w:rPr>
              <w:t>Stand 12.03.2025</w:t>
            </w:r>
          </w:p>
        </w:tc>
        <w:tc>
          <w:tcPr>
            <w:tcW w:type="dxa" w:w="1512"/>
          </w:tcPr>
          <w:p/>
        </w:tc>
        <w:tc>
          <w:tcPr>
            <w:tcW w:type="dxa" w:w="1512"/>
          </w:tcPr>
          <w:p>
            <w:r>
              <w:rPr>
                <w:rFonts w:ascii="Times New Roman" w:hAnsi="Times New Roman"/>
                <w:b/>
                <w:sz w:val="20"/>
              </w:rPr>
              <w:t>145,50 ETH</w:t>
            </w:r>
          </w:p>
        </w:tc>
        <w:tc>
          <w:tcPr>
            <w:tcW w:type="dxa" w:w="1512"/>
          </w:tcPr>
          <w:p>
            <w:r>
              <w:rPr>
                <w:rFonts w:ascii="Times New Roman" w:hAnsi="Times New Roman"/>
                <w:sz w:val="20"/>
              </w:rPr>
              <w:t>1.620 EUR</w:t>
            </w:r>
          </w:p>
        </w:tc>
        <w:tc>
          <w:tcPr>
            <w:tcW w:type="dxa" w:w="1512"/>
          </w:tcPr>
          <w:p>
            <w:r>
              <w:rPr>
                <w:rFonts w:ascii="Times New Roman" w:hAnsi="Times New Roman"/>
                <w:b/>
                <w:sz w:val="20"/>
              </w:rPr>
              <w:t>235.710 EUR</w:t>
            </w:r>
          </w:p>
        </w:tc>
        <w:tc>
          <w:tcPr>
            <w:tcW w:type="dxa" w:w="1512"/>
          </w:tcPr>
          <w:p/>
        </w:tc>
      </w:tr>
    </w:tbl>
    <w:p/>
    <w:p>
      <w:pPr>
        <w:pStyle w:val="Heading2"/>
      </w:pPr>
      <w:r>
        <w:rPr>
          <w:rFonts w:ascii="Times New Roman" w:hAnsi="Times New Roman"/>
        </w:rPr>
        <w:t>5. Technische Analyseergebnisse (vorläufig, SV Wandke)</w:t>
      </w:r>
    </w:p>
    <w:p>
      <w:pPr>
        <w:pStyle w:val="ListBullet"/>
      </w:pPr>
      <w:r>
        <w:t xml:space="preserve">Die Auszahlungs-Transaktion vom 07.02.2021 (−0,80 BTC) trägt </w:t>
      </w:r>
      <w:r>
        <w:rPr>
          <w:b/>
        </w:rPr>
        <w:t>zwei Signaturen</w:t>
      </w:r>
      <w:r>
        <w:t>: Schlüssel #1 (Erblasser-Stick) und Schlüssel #2 (Constantin). Die dritte Signatur konnte nicht aus dem On-Chain-Datensatz ermittelt werden (Signaturmetadaten bei P2WSH nicht vollständig im Blockchain-Explorer sichtbar); es könnte Schlüssel #3 oder #5 gewesen sein.</w:t>
      </w:r>
    </w:p>
    <w:p>
      <w:pPr>
        <w:pStyle w:val="ListBullet"/>
      </w:pPr>
      <w:r>
        <w:t>Dasselbe gilt für die Transaktion 12.12.2022 (−1,20 BTC) und 23.12.2022 (−8 ETH).</w:t>
      </w:r>
    </w:p>
    <w:p>
      <w:pPr>
        <w:pStyle w:val="ListBullet"/>
      </w:pPr>
      <w:r>
        <w:t>Diese Transaktionen belegen, dass zu Lebzeiten Edelmanns Auszahlungen aus der Wallet stattgefunden haben; ob es sich um Schenkungen an Constantin oder um interne Walletbereinigungen handelt, ist rechtlich streitig.</w:t>
      </w:r>
    </w:p>
    <w:p>
      <w:pPr>
        <w:pStyle w:val="ListBullet"/>
      </w:pPr>
      <w:r>
        <w:t>Die Einzahlung 04.07.2024 (35,50 ETH) ist herkunftsmäßig noch nicht geklärt. Sie erfolgte, als Edelmanns Gesundheitszustand bereits schlechter war. Ein Kauf ist möglich, eine Rückführung bereits abgehobener Mittel ebenso.</w:t>
      </w:r>
    </w:p>
    <w:p/>
    <w:p>
      <w:pPr>
        <w:pStyle w:val="Heading2"/>
      </w:pPr>
      <w:r>
        <w:rPr>
          <w:rFonts w:ascii="Times New Roman" w:hAnsi="Times New Roman"/>
        </w:rPr>
        <w:t>6. Rechtliche Qualifikation des Multisig-Problems</w:t>
      </w:r>
    </w:p>
    <w:p>
      <w:pPr>
        <w:pStyle w:val="Heading3"/>
      </w:pPr>
      <w:r>
        <w:rPr>
          <w:rFonts w:ascii="Times New Roman" w:hAnsi="Times New Roman"/>
        </w:rPr>
        <w:t>6.1 Kryptowährung als Nachlassmasse</w:t>
      </w:r>
    </w:p>
    <w:p>
      <w:pPr>
        <w:jc w:val="left"/>
      </w:pPr>
      <w:r>
        <w:t>Nach der deutschen Rechtslage sind Kryptowährungen als Eigentum im erbrechtlichen Sinne zu behandeln. Das Eigentumsrecht an BTC und ETH geht mit dem Tod auf die Erbengemeinschaft über (§§ 1922, 2032 BGB). Das Testament bestätigt dies ausdrücklich.</w:t>
      </w:r>
    </w:p>
    <w:p>
      <w:pPr>
        <w:pStyle w:val="Heading3"/>
      </w:pPr>
      <w:r>
        <w:rPr>
          <w:rFonts w:ascii="Times New Roman" w:hAnsi="Times New Roman"/>
        </w:rPr>
        <w:t>6.2 Technische Kontrolle vs. rechtliche Eigentümerstellung</w:t>
      </w:r>
    </w:p>
    <w:p>
      <w:pPr>
        <w:jc w:val="left"/>
      </w:pPr>
      <w:r>
        <w:t>Das Recht an den Kryptowährungen (als Erbengemeinschaft) ist strikt zu trennen von der faktischen Möglichkeit, auf die Wallet zuzugreifen. Constantin hält Schlüssel #2; damit allein kann er technisch nicht auf die Wallet zugreifen (3-of-5-Quorum). Wenn er jedoch Schlüssel #1 (Erblasser-Stick, bei Marlies) unbefugt nutzt und/oder den Backup-Schlüssel #5 eigenständig verschafft, könnte er faktisch Zugriff erlangen, ohne rechtlich dazu berechtigt zu sein.</w:t>
      </w:r>
    </w:p>
    <w:p>
      <w:pPr>
        <w:pStyle w:val="Heading3"/>
      </w:pPr>
      <w:r>
        <w:rPr>
          <w:rFonts w:ascii="Times New Roman" w:hAnsi="Times New Roman"/>
        </w:rPr>
        <w:t>6.3 Constantins Ausschlagung und Wallet</w:t>
      </w:r>
    </w:p>
    <w:p>
      <w:pPr>
        <w:jc w:val="left"/>
      </w:pPr>
      <w:r>
        <w:t>Constantin hat die Erbschaft ausgeschlagen. Damit ist er kein Erbe. Er hat keinerlei Verwaltungs- oder Verfügungsbefugnis über den Nachlass (§§ 1953, 2038 BGB e contrario). Sein Schlüssel #2 ist sein persönliches Eigentum; aber das Recht, ihn zur Freischaltung der Wallet zu benutzen und Gelder zu verschieben, hat er nicht. Jeder entsprechende Zugriff wäre:</w:t>
      </w:r>
    </w:p>
    <w:p>
      <w:pPr>
        <w:pStyle w:val="ListBullet"/>
      </w:pPr>
      <w:r>
        <w:t>Zivilrechtlich: Eingriff in das Gesamthandseigentum der Erbengemeinschaft (§ 2032 BGB), Bereicherungsanspruch (§ 812 BGB), Schadensersatz (§ 823 BGB).</w:t>
      </w:r>
    </w:p>
    <w:p>
      <w:pPr>
        <w:pStyle w:val="ListBullet"/>
      </w:pPr>
      <w:r>
        <w:t>Strafrechtlich: Je nach Konstruktion — Untreue (§ 266 StGB) scheidet mangels Treueverhältnis aus; möglicherweise Unterschlagung (§ 246 StGB) oder Computerbetrug (§ 263a StGB), wenn technische Systeme manipuliert werden.</w:t>
      </w:r>
    </w:p>
    <w:p>
      <w:pPr>
        <w:pStyle w:val="Heading3"/>
      </w:pPr>
      <w:r>
        <w:rPr>
          <w:rFonts w:ascii="Times New Roman" w:hAnsi="Times New Roman"/>
        </w:rPr>
        <w:t>6.4 Schlüssel #1 bei Marlies</w:t>
      </w:r>
    </w:p>
    <w:p>
      <w:pPr>
        <w:jc w:val="left"/>
      </w:pPr>
      <w:r>
        <w:t>Der Erblasser-Stick liegt bei Marlies. Sie ist Miterbin (1/4) und damit Mitglied der Erbengemeinschaft. Die Übergabe des Sticks an Constantin oder die gemeinsame Benutzung durch Marlies und Constantin ohne Zustimmung der anderen Erben (Henrike, Marie-Theres) wäre ebenfalls ein Eingriff in die Gesamthandsrechte.</w:t>
      </w:r>
    </w:p>
    <w:p>
      <w:pPr>
        <w:pStyle w:val="Heading3"/>
      </w:pPr>
      <w:r>
        <w:rPr>
          <w:rFonts w:ascii="Times New Roman" w:hAnsi="Times New Roman"/>
        </w:rPr>
        <w:t>6.5 Bankschließfach Volksbank Esslingen</w:t>
      </w:r>
    </w:p>
    <w:p>
      <w:pPr>
        <w:jc w:val="left"/>
      </w:pPr>
      <w:r>
        <w:t>Das Schließfach (Nr. 441) war auf Edelmann allein eröffnet. Nach dem Tod ist ein Zugang durch Vorlage eines Erbscheins möglich. Die Bank verlangt darüber hinaus eine einstimmige Weisung der Erbengemeinschaft, wenn kein Testamentsvollstrecker bestellt ist. Da die Erbengemeinschaft derzeit dreiköpfig ist (Marlies, Henrike, Marie-Theres nach Constantins Ausschlagung), müssen alle drei gemeinsam handeln. Dies blockiert die Situation, solange keine Einigkeit besteht.</w:t>
      </w:r>
    </w:p>
    <w:p/>
    <w:p>
      <w:pPr>
        <w:pStyle w:val="Heading2"/>
      </w:pPr>
      <w:r>
        <w:rPr>
          <w:rFonts w:ascii="Times New Roman" w:hAnsi="Times New Roman"/>
        </w:rPr>
        <w:t>7. Offene Punkte</w:t>
      </w:r>
    </w:p>
    <w:p>
      <w:pPr>
        <w:pStyle w:val="ListBullet"/>
      </w:pPr>
      <w:r>
        <w:t>Schlüssel #4 (Trotz-Kanzleinachlass): Anfrage bei Anwaltskammer BW läuft (→ Aktenstück 15).</w:t>
      </w:r>
    </w:p>
    <w:p>
      <w:pPr>
        <w:pStyle w:val="ListBullet"/>
      </w:pPr>
      <w:r>
        <w:t>Schlüssel #3 (Marlies): Sie bestreitet, je einen Schlüssel erhalten zu haben. Ob das stimmt, ist unklar. Constantin behauptet das Gegenteil. Beweis? → Aktenstück 22.</w:t>
      </w:r>
    </w:p>
    <w:p>
      <w:pPr>
        <w:pStyle w:val="ListBullet"/>
      </w:pPr>
      <w:r>
        <w:t>Herkunft der Einzahlung vom 04.07.2024 (35,50 ETH): noch ungeklärt.</w:t>
      </w:r>
    </w:p>
    <w:p>
      <w:pPr>
        <w:jc w:val="left"/>
      </w:pPr>
      <w:r>
        <w:t xml:space="preserve">Diagramm zur Schlüsselverteilung: </w:t>
      </w:r>
      <w:r>
        <w:t>jpg/multisig_diagramm_5_schluessel.jpg</w:t>
      </w:r>
      <w:r>
        <w:t>.</w:t>
      </w:r>
    </w:p>
    <w:p>
      <w:pPr>
        <w:jc w:val="left"/>
      </w:pPr>
      <w:r>
        <w:t xml:space="preserve">Tresor-Inventar: </w:t>
      </w:r>
      <w:r>
        <w:t>jpg/tresor_inhalt_inventarisierung.jpg</w:t>
      </w:r>
      <w:r>
        <w:t xml:space="preserve"> und </w:t>
      </w:r>
      <w:r>
        <w:t>pdfs/multisig_protokoll_tresor_inventar.pdf</w:t>
      </w:r>
      <w:r>
        <w:t>.</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