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Lebzeitige Schenkungen 2018–2024 — Vollständige Chronologie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10.05.2025</w:t>
      </w:r>
    </w:p>
    <w:p>
      <w:pPr>
        <w:jc w:val="left"/>
      </w:pPr>
      <w:r>
        <w:rPr>
          <w:b/>
        </w:rPr>
        <w:t>Bearbeitung:</w:t>
      </w:r>
      <w:r>
        <w:t xml:space="preserve"> RAin Steinkamp / Ref. Fust</w:t>
      </w:r>
    </w:p>
    <w:p>
      <w:pPr>
        <w:jc w:val="left"/>
      </w:pPr>
      <w:r>
        <w:t>Alle Angaben beruhen auf Belegen aus dem Mandantenordner (Henrike), Informationen Constantins (Telefonate, Schreiben) sowie On-Chain-Daten. Wo Belege fehlen, ist dies vermerkt. Die Tabelle ist Grundlage für die Pflichtteilsergänzungsberechnung → Aktenstück 11.</w:t>
      </w:r>
    </w:p>
    <w:p/>
    <w:p>
      <w:pPr>
        <w:pStyle w:val="Heading2"/>
      </w:pPr>
      <w:r>
        <w:rPr>
          <w:rFonts w:ascii="Times New Roman" w:hAnsi="Times New Roman"/>
        </w:rPr>
        <w:t>1. Schenkungen an Henrike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 zum Schenkungszeitpunkt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 läuft ab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Eigentumswohnung Konstanz, Bodenseering 7 (notarielle Übertragung zu 0 EUR, Grundbucheintragung 03.03.2018)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320.000 EUR (Bodenrichtwert + Ertragswert 2018 lt. SV-Einschätzung)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Notarielle Urkunde UR-Nr. 44/2018 Notar Bertram Quast, Konstanz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15.01.2028</w:t>
            </w:r>
          </w:p>
        </w:tc>
      </w:tr>
    </w:tbl>
    <w:p>
      <w:pPr>
        <w:jc w:val="left"/>
      </w:pPr>
      <w:r>
        <w:rPr>
          <w:b/>
        </w:rPr>
        <w:t>Anmerkung:</w:t>
      </w:r>
      <w:r>
        <w:t xml:space="preserve"> Die Wohnung war 2018 lastenfrei übertragen; Henrike hat anschließend selbst eine Finanzierung aufgenommen (230 TEUR, Sparkasse Konstanz; läuft noch). Die Schenkung selbst war lastenfrei, die Schulden bestehen im persönlichen Vermögen Henrikes.</w:t>
      </w:r>
    </w:p>
    <w:p>
      <w:pPr>
        <w:jc w:val="left"/>
      </w:pPr>
      <w:r>
        <w:t xml:space="preserve">Für die Pflichtteilsergänzung nach § 2325 BGB ist der Wert der Wohnung am Stichtag </w:t>
      </w:r>
      <w:r>
        <w:rPr>
          <w:b/>
        </w:rPr>
        <w:t>Todestag</w:t>
      </w:r>
      <w:r>
        <w:t xml:space="preserve"> maßgeblich (sofern innerhalb der 10-Jahres-Frist — hier: Frist läuft noch bis 2028). Aktueller Schätzwert ETW Konstanz (Bodenseering 7, 3-Zimmer, 84 qm, EG): ca. </w:t>
      </w:r>
      <w:r>
        <w:rPr>
          <w:b/>
        </w:rPr>
        <w:t>580.000 EUR</w:t>
      </w:r>
      <w:r>
        <w:t xml:space="preserve"> (Marktbericht IVD Bodensee 2025: 6.400–7.200 EUR/qm).</w:t>
      </w:r>
    </w:p>
    <w:p/>
    <w:p>
      <w:pPr>
        <w:pStyle w:val="Heading2"/>
      </w:pPr>
      <w:r>
        <w:rPr>
          <w:rFonts w:ascii="Times New Roman" w:hAnsi="Times New Roman"/>
        </w:rPr>
        <w:t>2. Schenkungen an Constantin (Bargeld/Überweisung)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 läuft ab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08.10.2020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 (Constantin, Berliner Volksbank)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08.10.2030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14.06.2022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14.06.2032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22.12.2023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22.12.2033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 Bargeld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380.000 EUR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jc w:val="left"/>
      </w:pPr>
      <w:r>
        <w:t>Alle drei Schenkungen sind durch Überweisungsbelege dokumentiert; kein Schriftformvertrag (bei Handschenkung nach Vollzug nicht erforderlich, § 518 Abs. 2 BGB).</w:t>
      </w:r>
    </w:p>
    <w:p>
      <w:pPr>
        <w:jc w:val="left"/>
      </w:pPr>
      <w:r>
        <w:rPr>
          <w:b/>
        </w:rPr>
        <w:t>10-Jahres-Frist:</w:t>
      </w:r>
      <w:r>
        <w:t xml:space="preserve"> Alle Barschenkungen Constantin liegen innerhalb von 10 Jahren vor dem Todestag (12.03.2025). C-1 (08.10.2020) liegt knapp innerhalb; genau: 4 Jahre 5 Monate 4 Tage vor dem Todestag. Die Frist läuft auch noch nicht ab — alle drei Schenkungen sind für § 2325 BGB voll relevant.</w:t>
      </w:r>
    </w:p>
    <w:p/>
    <w:p>
      <w:pPr>
        <w:pStyle w:val="Heading2"/>
      </w:pPr>
      <w:r>
        <w:rPr>
          <w:rFonts w:ascii="Times New Roman" w:hAnsi="Times New Roman"/>
        </w:rPr>
        <w:t>3. Schenkungen an Constantin (Krypto, streitig)</w:t>
      </w:r>
    </w:p>
    <w:p>
      <w:pPr>
        <w:jc w:val="left"/>
      </w:pPr>
      <w:r>
        <w:t>Ob die On-Chain-Transaktionen aus der Multisig-Wallet als Schenkungen an Constantin zu qualifizieren sind, ist rechtlich der zentrale Streitpunkt.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Transaktion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 zum Transaktionsdatum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Empfängeradresse (Auszug)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Zuordnung zu Constantin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07.02.2021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−0,80 BTC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30.880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bc1q7v…9r3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 (Constantin erklärt dies)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12.12.2022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−1,20 BTC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19.440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bc1q3n…4kp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23.12.2022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−8,00 ETH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9.440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0x9aF7…2bC1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−2,00 ETH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6.240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0x9aF7…2bC1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 Krypto (wenn Schenkung)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66.000 EUR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jc w:val="left"/>
      </w:pPr>
      <w:r>
        <w:rPr>
          <w:b/>
        </w:rPr>
        <w:t>Hinweis:</w:t>
      </w:r>
      <w:r>
        <w:t xml:space="preserve"> Die Empfängeradressen sind laut IT-Sachverständige Wandke mit hoher Wahrscheinlichkeit Wallets, die Constantin selbst kontrolliert (Clustering-Analyse auf Basis von Blockchain-Explorer-Daten). Ein abschließender Beweis erfordert eine eidesstattliche Erklärung Constantins oder eine forensische Analyse.</w:t>
      </w:r>
    </w:p>
    <w:p>
      <w:pPr>
        <w:jc w:val="left"/>
      </w:pPr>
      <w:r>
        <w:rPr>
          <w:b/>
        </w:rPr>
        <w:t>Wertansatz für § 2325 BGB (Krypto):</w:t>
      </w:r>
      <w:r>
        <w:t xml:space="preserve"> Für Krypto-Schenkungen ist nach der allgemeinen Systematik des § 2325 BGB der Wert „zum Zeitpunkt der Schenkung" anzusetzen, soweit der Wert nicht gestiegen ist (Niederstwertprinzip — allerdings besteht in der Lit. Streit, ob § 2325 Abs. 2 BGB ein eigentliches Niederstwertprinzip enthält; BGH 10.05.2017 IV ZR 30/16 zur Pflichtteilsergänzung und Bewertungszeitpunkt: Wert zum Zeitpunkt des Erbfalls, wenn höher). Da BTC und ETH seit 2021/2022 erheblich im Wert gestiegen sind, wäre der Wert zum Todestag (2025) als Bemessungsgrundlage höher.</w:t>
      </w:r>
    </w:p>
    <w:p/>
    <w:p>
      <w:pPr>
        <w:pStyle w:val="Heading2"/>
      </w:pPr>
      <w:r>
        <w:rPr>
          <w:rFonts w:ascii="Times New Roman" w:hAnsi="Times New Roman"/>
        </w:rPr>
        <w:t>4. Schenkung an Marie-Theres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15.11.2020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Abstandszahlung Pflichtteilsverzicht (§ 2346 BGB)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Notarielle Urkunde UR-Nr. 412/2020 Notar Welz, Stuttgart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15.11.2030</w:t>
            </w:r>
          </w:p>
        </w:tc>
      </w:tr>
    </w:tbl>
    <w:p>
      <w:pPr>
        <w:jc w:val="left"/>
      </w:pPr>
      <w:r>
        <w:rPr>
          <w:b/>
        </w:rPr>
        <w:t>Einordnung:</w:t>
      </w:r>
      <w:r>
        <w:t xml:space="preserve"> Die Zahlung anlässlich eines Pflichtteilsverzichts ist keine Schenkung im Sinne des § 2325 BGB, weil sie entgeltlich (als Gegenleistung für den Verzicht) geleistet wurde. § 2325 Abs. 3 BGB nennt ausdrücklich Schenkungen „unentgeltlich"; eine Zahlung gegen Verzicht hat synallagmatischen Charakter. Dennoch: Die Angemessenheit der Gegenleistung wäre zu prüfen — wenn 40.000 EUR deutlich unter dem Pflichtteilswert lag, den Marie-Theres damals hätte fordern können, könnte ein teilweise unentgeltlicher Charakter vorliegen.</w:t>
      </w:r>
    </w:p>
    <w:p>
      <w:pPr>
        <w:jc w:val="left"/>
      </w:pPr>
      <w:r>
        <w:rPr>
          <w:b/>
        </w:rPr>
        <w:t>Marie-Theres' Pflichtteil 2020:</w:t>
      </w:r>
      <w:r>
        <w:t xml:space="preserve"> Wäre der Erbfall 2020 eingetreten, hätte Marie-Theres einen Pflichtteil von 1/8 des Nachlasswerts (bei 4 Kindern: 1/4 Erbteil, 1/2 davon Pflichtteil = 1/8). Der Nachlasswert 2020 war erheblich niedriger als heute (kein Krypto-Boom, Haus ca. 1,3 Mio. EUR). Grobe Schätzung: Pflichtteil 2020 ca. 200.000–250.000 EUR. Abfindung mit 40 TEUR deutlich darunter.</w:t>
      </w:r>
    </w:p>
    <w:p/>
    <w:p>
      <w:pPr>
        <w:pStyle w:val="Heading2"/>
      </w:pPr>
      <w:r>
        <w:rPr>
          <w:rFonts w:ascii="Times New Roman" w:hAnsi="Times New Roman"/>
        </w:rPr>
        <w:t>5. Anrechnungsklausel im Testament vs. § 2325 BGB</w:t>
      </w:r>
    </w:p>
    <w:p>
      <w:pPr>
        <w:jc w:val="left"/>
      </w:pPr>
      <w:r>
        <w:t>Das Testament enthält eine Anrechnungsklausel (→ Aktenstück 03, Abschnitt 3.2): Schenkungen über 50.000 EUR je Einzelschenkung sollen auf den Erbteil angerechnet werden.</w:t>
      </w:r>
    </w:p>
    <w:p>
      <w:pPr>
        <w:jc w:val="left"/>
      </w:pPr>
      <w:r>
        <w:t>Für die Berechnung des Pflichtteilsergänzungsanspruchs (§ 2325 BGB) ist diese Klausel irrelevant: Der gesetzliche Ergänzungsanspruch gilt unabhängig von testamentarischen Anrechnungsklauseln. Die Klausel regelt nur das interne Auseinandersetzungsverhältnis.</w:t>
      </w:r>
    </w:p>
    <w:p>
      <w:pPr>
        <w:jc w:val="left"/>
      </w:pPr>
      <w:r>
        <w:rPr>
          <w:b/>
        </w:rPr>
        <w:t>Praktische Konsequenz:</w:t>
      </w:r>
      <w:r>
        <w:t xml:space="preserve"> Selbst wenn Henrike durch die Anrechnungsklausel (im Innenverhältnis zu Marlies und Marie-Theres) mit ihrem Erbteil belastet wird, bleibt ihr Pflichtteilsergänzungsanspruch gegen Constantin davon unberührt.</w:t>
      </w:r>
    </w:p>
    <w:p/>
    <w:p>
      <w:pPr>
        <w:pStyle w:val="Heading2"/>
      </w:pPr>
      <w:r>
        <w:rPr>
          <w:rFonts w:ascii="Times New Roman" w:hAnsi="Times New Roman"/>
        </w:rPr>
        <w:t>6. Gesamtübersicht anrechenbarer Schenkungen (§ 2325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Voll ergänzungspflichtig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Henrike (ETW Konstanz 2018, jetzt ca. 580 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580.000 EUR*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15.01.2028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(Bargeld 2020–2023)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2030–2033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(Krypto, wenn Schenkung)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66.000 EUR*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2031–2034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 (2020, entgeltlich)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(entgeltlich)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t>*Wert zum Zeitpunkt des Erbfalls (BGH 10.05.2017 IV ZR 30/16); Krypto-Betrag zum Stichtagskurs 2025.</w:t>
      </w:r>
    </w:p>
    <w:p>
      <w:pPr>
        <w:jc w:val="left"/>
      </w:pPr>
      <w:r>
        <w:rPr>
          <w:b/>
        </w:rPr>
        <w:t>Ergänzungsnachlass für § 2325 BGB:</w:t>
      </w:r>
      <w:r>
        <w:t xml:space="preserve"> 4.082.000 EUR (Reinnachlass) + 380.000 EUR (Constantin Bargeld) + 580.000 EUR (Henrike ETW, wertmäßige Steigerung) + ggf. 66.000 EUR (Krypto) = ca. </w:t>
      </w:r>
      <w:r>
        <w:rPr>
          <w:b/>
        </w:rPr>
        <w:t>5.108.000 EUR</w:t>
      </w:r>
      <w:r>
        <w:t xml:space="preserve"> (→ Details Aktenstück 11).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