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Testamentsvollstreckung — RA Trotz verstorben, kein Ersatz benannt</w:t>
      </w:r>
    </w:p>
    <w:p>
      <w:pPr>
        <w:jc w:val="left"/>
      </w:pPr>
      <w:r>
        <w:rPr>
          <w:b/>
        </w:rPr>
        <w:t>Az.:</w:t>
      </w:r>
      <w:r>
        <w:t xml:space="preserve"> KlKette 025/0422-ERB-EDE</w:t>
      </w:r>
    </w:p>
    <w:p>
      <w:pPr>
        <w:jc w:val="left"/>
      </w:pPr>
      <w:r>
        <w:rPr>
          <w:b/>
        </w:rPr>
        <w:t>Stand:</w:t>
      </w:r>
      <w:r>
        <w:t xml:space="preserve"> 13.05.2025</w:t>
      </w:r>
    </w:p>
    <w:p>
      <w:pPr>
        <w:jc w:val="left"/>
      </w:pPr>
      <w:r>
        <w:rPr>
          <w:b/>
        </w:rPr>
        <w:t>Bearbeitung:</w:t>
      </w:r>
      <w:r>
        <w:t xml:space="preserve"> RAin Steinkamp</w:t>
      </w:r>
    </w:p>
    <w:p/>
    <w:p>
      <w:pPr>
        <w:pStyle w:val="Heading2"/>
      </w:pPr>
      <w:r>
        <w:rPr>
          <w:rFonts w:ascii="Times New Roman" w:hAnsi="Times New Roman"/>
        </w:rPr>
        <w:t>1. Ausgangslage</w:t>
      </w:r>
    </w:p>
    <w:p>
      <w:pPr>
        <w:jc w:val="left"/>
      </w:pPr>
      <w:r>
        <w:t>Das Testament vom 09.11.2019 enthält folgende Klausel zur Testamentsvollstreckung:</w:t>
      </w:r>
    </w:p>
    <w:p>
      <w:pPr>
        <w:ind w:left="567"/>
      </w:pPr>
      <w:r>
        <w:rPr>
          <w:i/>
        </w:rPr>
        <w:t>„Mein langjähriger Anwalt und Vertrauter, Rechtsanwalt Dr. Friedrich Trotz, Stuttgart-Mitte, soll die Auseinandersetzung als Testamentsvollstrecker überwachen und die Erbengemeinschaft einigen."</w:t>
      </w:r>
    </w:p>
    <w:p>
      <w:pPr>
        <w:jc w:val="left"/>
      </w:pPr>
      <w:r>
        <w:t>RA Dr. Friedrich Trotz ist nach Kenntnisstand der Kanzlei im Oktober 2023 verstorben. Er hat das Amt des Testamentsvollstreckers damit nicht mehr ausüben können. Eine Ersatzbenennung im Testament fehlt.</w:t>
      </w:r>
    </w:p>
    <w:p/>
    <w:p>
      <w:pPr>
        <w:pStyle w:val="Heading2"/>
      </w:pPr>
      <w:r>
        <w:rPr>
          <w:rFonts w:ascii="Times New Roman" w:hAnsi="Times New Roman"/>
        </w:rPr>
        <w:t>2. Rechtliche Konsequenzen des Wegfalls</w:t>
      </w:r>
    </w:p>
    <w:p>
      <w:pPr>
        <w:pStyle w:val="Heading3"/>
      </w:pPr>
      <w:r>
        <w:rPr>
          <w:rFonts w:ascii="Times New Roman" w:hAnsi="Times New Roman"/>
        </w:rPr>
        <w:t>2.1 Erlöschen des Amts (§ 2225 BGB)</w:t>
      </w:r>
    </w:p>
    <w:p>
      <w:pPr>
        <w:jc w:val="left"/>
      </w:pPr>
      <w:r>
        <w:t>Das Amt des Testamentsvollstreckers erlischt mit dem Tod des benannten Vollstreckers (§ 2225 BGB). Da das Testament keinen Ersatzvollstrecker benennt, gibt es nach § 2225 BGB keinen amtierenden Testamentsvollstrecker.</w:t>
      </w:r>
    </w:p>
    <w:p>
      <w:pPr>
        <w:pStyle w:val="Heading3"/>
      </w:pPr>
      <w:r>
        <w:rPr>
          <w:rFonts w:ascii="Times New Roman" w:hAnsi="Times New Roman"/>
        </w:rPr>
        <w:t>2.2 Möglichkeit der gerichtlichen Ernennung (§ 2200 BGB)</w:t>
      </w:r>
    </w:p>
    <w:p>
      <w:pPr>
        <w:jc w:val="left"/>
      </w:pPr>
      <w:r>
        <w:t>Hat der Erblasser in seinem Testament angeordnet, dass ein Testamentsvollstrecker ernannt werden soll, und ist die benannte Person weggefallen, kann das Nachlassgericht auf Antrag einen Testamentsvollstrecker ernennen (§ 2200 BGB). Die Klausel im Testament Edelmanns ist ausreichend, um diesen Mechanismus auszulösen: Der Erblasser hat einen TV benannt und damit den Willen zur Testamentsvollstreckung manifestiert.</w:t>
      </w:r>
    </w:p>
    <w:p>
      <w:pPr>
        <w:jc w:val="left"/>
      </w:pPr>
      <w:r>
        <w:rPr>
          <w:b/>
        </w:rPr>
        <w:t>Antragsberechtigt:</w:t>
      </w:r>
      <w:r>
        <w:t xml:space="preserve"> Jeder Erbe, aber auch andere Beteiligte. Die Kanzlei kann für Henrike einen Antrag stellen.</w:t>
      </w:r>
    </w:p>
    <w:p>
      <w:pPr>
        <w:pStyle w:val="Heading3"/>
      </w:pPr>
      <w:r>
        <w:rPr>
          <w:rFonts w:ascii="Times New Roman" w:hAnsi="Times New Roman"/>
        </w:rPr>
        <w:t>2.3 Ob Antrag sinnvoll ist</w:t>
      </w:r>
    </w:p>
    <w:p>
      <w:pPr>
        <w:jc w:val="left"/>
      </w:pPr>
      <w:r>
        <w:rPr>
          <w:b/>
        </w:rPr>
        <w:t>Pro TV-Ernennung:</w:t>
      </w:r>
    </w:p>
    <w:p>
      <w:pPr>
        <w:pStyle w:val="ListBullet"/>
      </w:pPr>
      <w:r>
        <w:t>Die Erbengemeinschaft ist zerstritten (Marlies, Henrike, Marie-Theres mit divergierenden Interessen; Constantin außerhalb).</w:t>
      </w:r>
    </w:p>
    <w:p>
      <w:pPr>
        <w:pStyle w:val="ListBullet"/>
      </w:pPr>
      <w:r>
        <w:t>Die Verwaltung der Krypto-Assets erfordert besondere Kompetenz, die nicht alle Erben haben.</w:t>
      </w:r>
    </w:p>
    <w:p>
      <w:pPr>
        <w:pStyle w:val="ListBullet"/>
      </w:pPr>
      <w:r>
        <w:t>Ein TV könnte den Erbschein beantragen, die Wallet sichern, das Depot kontrollieren und eine geordnete Auseinandersetzung herbeiführen.</w:t>
      </w:r>
    </w:p>
    <w:p>
      <w:pPr>
        <w:pStyle w:val="ListBullet"/>
      </w:pPr>
      <w:r>
        <w:t>Der TV könnte als neutraler Dritter die Auseinandersetzung moderieren und beschleunigen.</w:t>
      </w:r>
    </w:p>
    <w:p>
      <w:pPr>
        <w:jc w:val="left"/>
      </w:pPr>
      <w:r>
        <w:rPr>
          <w:b/>
        </w:rPr>
        <w:t>Contra TV-Ernennung:</w:t>
      </w:r>
    </w:p>
    <w:p>
      <w:pPr>
        <w:pStyle w:val="ListBullet"/>
      </w:pPr>
      <w:r>
        <w:t>Der TV hat weitreichende Befugnisse (§§ 2205, 2208 BGB) und Kosten verursacht Vergütungsanspruch nach § 2221 BGB (üblich: ca. 1–3 % des Nachlasswerts; hier: bis zu 120.000 EUR).</w:t>
      </w:r>
    </w:p>
    <w:p>
      <w:pPr>
        <w:pStyle w:val="ListBullet"/>
      </w:pPr>
      <w:r>
        <w:t>Henrike als Erbin kann effektiv auch selbst (mit anwaltlicher Hilfe) handeln; der TV würde ggf. ihre Steuerungsrolle einschränken.</w:t>
      </w:r>
    </w:p>
    <w:p>
      <w:pPr>
        <w:pStyle w:val="ListBullet"/>
      </w:pPr>
      <w:r>
        <w:t>Marlies und Marie-Theres könnten gegen den von Henrike vorgeschlagenen TV Einwände erheben.</w:t>
      </w:r>
    </w:p>
    <w:p>
      <w:pPr>
        <w:jc w:val="left"/>
      </w:pPr>
      <w:r>
        <w:rPr>
          <w:b/>
        </w:rPr>
        <w:t>Empfehlung:</w:t>
      </w:r>
      <w:r>
        <w:t xml:space="preserve"> TV-Antrag nach § 2200 BGB ist ein sinnvolles taktisches Mittel, insbesondere wenn Marlies den Erblasser-Stick nicht herausgibt oder Constantin weiter Druck macht. Der TV könnte sofort handeln (Sicherung Stick, Anweisung an Bank) ohne Einstimmigkeitserfordernis. Für die laufende Verhandlungsphase zunächst zurückstellen; als Option im Hintergrund halten.</w:t>
      </w:r>
    </w:p>
    <w:p/>
    <w:p>
      <w:pPr>
        <w:pStyle w:val="Heading2"/>
      </w:pPr>
      <w:r>
        <w:rPr>
          <w:rFonts w:ascii="Times New Roman" w:hAnsi="Times New Roman"/>
        </w:rPr>
        <w:t>3. Kanzleinachlass RA Trotz</w:t>
      </w:r>
    </w:p>
    <w:p>
      <w:pPr>
        <w:jc w:val="left"/>
      </w:pPr>
      <w:r>
        <w:t>Die Kanzlei hat am 02.05.2025 bei der Rechtsanwaltskammer Baden-Württemberg (Körperschaft des öffentlichen Rechts, Stuttgart) schriftlich angefragt:</w:t>
      </w:r>
    </w:p>
    <w:p>
      <w:pPr>
        <w:pStyle w:val="ListNumber"/>
      </w:pPr>
      <w:r>
        <w:t>Wo ist der Kanzleinachlass RA Dr. Friedrich Trotz hinterlegt?</w:t>
      </w:r>
    </w:p>
    <w:p>
      <w:pPr>
        <w:pStyle w:val="ListNumber"/>
      </w:pPr>
      <w:r>
        <w:t>Gibt es in den Kanzleiakten Unterlagen zur Testamentsvollstrecker-Bestellung für den Nachlass Edelmann?</w:t>
      </w:r>
    </w:p>
    <w:p>
      <w:pPr>
        <w:pStyle w:val="ListNumber"/>
      </w:pPr>
      <w:r>
        <w:t>Hält die Kammer einen privaten Schlüssel (Hardware-Wallet) in Verwahrung, der mit der Edelmann-Wallet in Verbindung steht?</w:t>
      </w:r>
    </w:p>
    <w:p>
      <w:pPr>
        <w:jc w:val="left"/>
      </w:pPr>
      <w:r>
        <w:rPr>
          <w:b/>
        </w:rPr>
        <w:t>Stand der Anfrage:</w:t>
      </w:r>
      <w:r>
        <w:t xml:space="preserve"> Noch keine Antwort erhalten (Fristsetzung bis 16.05.2025). Die Kammer ist nach § 54 BRAO verpflichtet, beim Tod eines Mitglieds für die geordnete Abwicklung zu sorgen.</w:t>
      </w:r>
    </w:p>
    <w:p>
      <w:pPr>
        <w:jc w:val="left"/>
      </w:pPr>
      <w:r>
        <w:t>Wenn in der Kanzleinachlass Trotz ein Schlüssel für die Multisig-Wallet (Schlüssel #4) gefunden wird, wäre dieser als Nachlassgegenstand der Erbengemeinschaft zuzuordnen oder möglicherweise als Depositum für Edelmann hinterlegt. Im letzteren Fall würde er an die Erbengemeinschaft herauszugeben sein.</w:t>
      </w:r>
    </w:p>
    <w:p>
      <w:pPr>
        <w:jc w:val="left"/>
      </w:pPr>
      <w:r>
        <w:rPr>
          <w:b/>
        </w:rPr>
        <w:t>Sicherungsproblem:</w:t>
      </w:r>
      <w:r>
        <w:t xml:space="preserve"> Wenn kein TV und kein Erbschein vorliegen, kann die Kammer ggf. den Schlüssel nicht einfach an einen einzelnen Erben herausgeben. Hier ist koordiniertes Vorgehen nötig.</w:t>
      </w:r>
    </w:p>
    <w:p/>
    <w:p>
      <w:pPr>
        <w:pStyle w:val="Heading2"/>
      </w:pPr>
      <w:r>
        <w:rPr>
          <w:rFonts w:ascii="Times New Roman" w:hAnsi="Times New Roman"/>
        </w:rPr>
        <w:t>4. Zusammenfassung der TV-Situation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Status</w:t>
            </w:r>
          </w:p>
        </w:tc>
        <w:tc>
          <w:tcPr>
            <w:tcW w:type="dxa" w:w="4536"/>
          </w:tcPr>
          <w:p>
            <w:r>
              <w:rPr>
                <w:rFonts w:ascii="Times New Roman" w:hAnsi="Times New Roman"/>
                <w:b/>
                <w:sz w:val="20"/>
              </w:rPr>
              <w:t>Beschreibung</w:t>
            </w:r>
          </w:p>
        </w:tc>
      </w:tr>
      <w:tr>
        <w:tc>
          <w:tcPr>
            <w:tcW w:type="dxa" w:w="4536"/>
          </w:tcPr>
          <w:p>
            <w:r>
              <w:rPr>
                <w:rFonts w:ascii="Times New Roman" w:hAnsi="Times New Roman"/>
                <w:sz w:val="20"/>
              </w:rPr>
              <w:t>Benannter TV</w:t>
            </w:r>
          </w:p>
        </w:tc>
        <w:tc>
          <w:tcPr>
            <w:tcW w:type="dxa" w:w="4536"/>
          </w:tcPr>
          <w:p>
            <w:r>
              <w:rPr>
                <w:rFonts w:ascii="Times New Roman" w:hAnsi="Times New Roman"/>
                <w:sz w:val="20"/>
              </w:rPr>
              <w:t>RA Dr. Friedrich Trotz (verstorben Oktober 2023)</w:t>
            </w:r>
          </w:p>
        </w:tc>
      </w:tr>
      <w:tr>
        <w:tc>
          <w:tcPr>
            <w:tcW w:type="dxa" w:w="4536"/>
          </w:tcPr>
          <w:p>
            <w:r>
              <w:rPr>
                <w:rFonts w:ascii="Times New Roman" w:hAnsi="Times New Roman"/>
                <w:sz w:val="20"/>
              </w:rPr>
              <w:t>Amtierender TV</w:t>
            </w:r>
          </w:p>
        </w:tc>
        <w:tc>
          <w:tcPr>
            <w:tcW w:type="dxa" w:w="4536"/>
          </w:tcPr>
          <w:p>
            <w:r>
              <w:rPr>
                <w:rFonts w:ascii="Times New Roman" w:hAnsi="Times New Roman"/>
                <w:sz w:val="20"/>
              </w:rPr>
              <w:t>Keiner</w:t>
            </w:r>
          </w:p>
        </w:tc>
      </w:tr>
      <w:tr>
        <w:tc>
          <w:tcPr>
            <w:tcW w:type="dxa" w:w="4536"/>
          </w:tcPr>
          <w:p>
            <w:r>
              <w:rPr>
                <w:rFonts w:ascii="Times New Roman" w:hAnsi="Times New Roman"/>
                <w:sz w:val="20"/>
              </w:rPr>
              <w:t>Rechtsgrundlage für gerichtliche Ernennung</w:t>
            </w:r>
          </w:p>
        </w:tc>
        <w:tc>
          <w:tcPr>
            <w:tcW w:type="dxa" w:w="4536"/>
          </w:tcPr>
          <w:p>
            <w:r>
              <w:rPr>
                <w:rFonts w:ascii="Times New Roman" w:hAnsi="Times New Roman"/>
                <w:sz w:val="20"/>
              </w:rPr>
              <w:t>§ 2200 BGB</w:t>
            </w:r>
          </w:p>
        </w:tc>
      </w:tr>
      <w:tr>
        <w:tc>
          <w:tcPr>
            <w:tcW w:type="dxa" w:w="4536"/>
          </w:tcPr>
          <w:p>
            <w:r>
              <w:rPr>
                <w:rFonts w:ascii="Times New Roman" w:hAnsi="Times New Roman"/>
                <w:sz w:val="20"/>
              </w:rPr>
              <w:t>Antrag bereits gestellt?</w:t>
            </w:r>
          </w:p>
        </w:tc>
        <w:tc>
          <w:tcPr>
            <w:tcW w:type="dxa" w:w="4536"/>
          </w:tcPr>
          <w:p>
            <w:r>
              <w:rPr>
                <w:rFonts w:ascii="Times New Roman" w:hAnsi="Times New Roman"/>
                <w:sz w:val="20"/>
              </w:rPr>
              <w:t>Nein</w:t>
            </w:r>
          </w:p>
        </w:tc>
      </w:tr>
      <w:tr>
        <w:tc>
          <w:tcPr>
            <w:tcW w:type="dxa" w:w="4536"/>
          </w:tcPr>
          <w:p>
            <w:r>
              <w:rPr>
                <w:rFonts w:ascii="Times New Roman" w:hAnsi="Times New Roman"/>
                <w:sz w:val="20"/>
              </w:rPr>
              <w:t>Empfehlung</w:t>
            </w:r>
          </w:p>
        </w:tc>
        <w:tc>
          <w:tcPr>
            <w:tcW w:type="dxa" w:w="4536"/>
          </w:tcPr>
          <w:p>
            <w:r>
              <w:rPr>
                <w:rFonts w:ascii="Times New Roman" w:hAnsi="Times New Roman"/>
                <w:sz w:val="20"/>
              </w:rPr>
              <w:t>Als strategische Option offen halten; Antrag bei Eskalation der Krypto-Situation</w:t>
            </w:r>
          </w:p>
        </w:tc>
      </w:tr>
      <w:tr>
        <w:tc>
          <w:tcPr>
            <w:tcW w:type="dxa" w:w="4536"/>
          </w:tcPr>
          <w:p>
            <w:r>
              <w:rPr>
                <w:rFonts w:ascii="Times New Roman" w:hAnsi="Times New Roman"/>
                <w:sz w:val="20"/>
              </w:rPr>
              <w:t>Kanzleinachlass Trotz</w:t>
            </w:r>
          </w:p>
        </w:tc>
        <w:tc>
          <w:tcPr>
            <w:tcW w:type="dxa" w:w="4536"/>
          </w:tcPr>
          <w:p>
            <w:r>
              <w:rPr>
                <w:rFonts w:ascii="Times New Roman" w:hAnsi="Times New Roman"/>
                <w:sz w:val="20"/>
              </w:rPr>
              <w:t>Anfrage bei RAK BW läuft; Ergebnis erwartet 16.05.2025</w:t>
            </w:r>
          </w:p>
        </w:tc>
      </w:tr>
      <w:tr>
        <w:tc>
          <w:tcPr>
            <w:tcW w:type="dxa" w:w="4536"/>
          </w:tcPr>
          <w:p>
            <w:r>
              <w:rPr>
                <w:rFonts w:ascii="Times New Roman" w:hAnsi="Times New Roman"/>
                <w:sz w:val="20"/>
              </w:rPr>
              <w:t>Vergütungsrisiko TV</w:t>
            </w:r>
          </w:p>
        </w:tc>
        <w:tc>
          <w:tcPr>
            <w:tcW w:type="dxa" w:w="4536"/>
          </w:tcPr>
          <w:p>
            <w:r>
              <w:rPr>
                <w:rFonts w:ascii="Times New Roman" w:hAnsi="Times New Roman"/>
                <w:sz w:val="20"/>
              </w:rPr>
              <w:t>Bis zu ca. 100.000–120.000 EUR bei 3 % von 4 Mio. EUR</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