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Mediationsplan — Cochemer Erbmediation, Entwurf</w:t>
      </w:r>
    </w:p>
    <w:p>
      <w:pPr>
        <w:jc w:val="left"/>
      </w:pPr>
      <w:r>
        <w:rPr>
          <w:b/>
        </w:rPr>
        <w:t>Az.:</w:t>
      </w:r>
      <w:r>
        <w:t xml:space="preserve"> KlKette 025/0422-ERB-EDE</w:t>
      </w:r>
    </w:p>
    <w:p>
      <w:pPr>
        <w:jc w:val="left"/>
      </w:pPr>
      <w:r>
        <w:rPr>
          <w:b/>
        </w:rPr>
        <w:t>Stand:</w:t>
      </w:r>
      <w:r>
        <w:t xml:space="preserve"> 14.05.2025</w:t>
      </w:r>
    </w:p>
    <w:p>
      <w:pPr>
        <w:jc w:val="left"/>
      </w:pPr>
      <w:r>
        <w:rPr>
          <w:b/>
        </w:rPr>
        <w:t>Bearbeitung:</w:t>
      </w:r>
      <w:r>
        <w:t xml:space="preserve"> RAin Steinkamp</w:t>
      </w:r>
    </w:p>
    <w:p>
      <w:pPr>
        <w:jc w:val="left"/>
      </w:pPr>
      <w:r>
        <w:rPr>
          <w:b/>
        </w:rPr>
        <w:t>Zweck:</w:t>
      </w:r>
      <w:r>
        <w:t xml:space="preserve"> Interne Strategienotiz für Mandantin; kein Schriftsatz</w:t>
      </w:r>
    </w:p>
    <w:p/>
    <w:p>
      <w:pPr>
        <w:pStyle w:val="Heading2"/>
      </w:pPr>
      <w:r>
        <w:rPr>
          <w:rFonts w:ascii="Times New Roman" w:hAnsi="Times New Roman"/>
        </w:rPr>
        <w:t>1. Ausgangsbewertung: Ist Mediation sinnvoll?</w:t>
      </w:r>
    </w:p>
    <w:p>
      <w:pPr>
        <w:jc w:val="left"/>
      </w:pPr>
      <w:r>
        <w:t>Die Fallkonstellation zeigt vier Konfliktparteien mit materiell unterschiedlichen, teils unvereinbar erscheinenden Interessen: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Partei</w:t>
            </w:r>
          </w:p>
        </w:tc>
        <w:tc>
          <w:tcPr>
            <w:tcW w:type="dxa" w:w="3024"/>
          </w:tcPr>
          <w:p>
            <w:r>
              <w:rPr>
                <w:rFonts w:ascii="Times New Roman" w:hAnsi="Times New Roman"/>
                <w:b/>
                <w:sz w:val="20"/>
              </w:rPr>
              <w:t>Kerninteresse</w:t>
            </w:r>
          </w:p>
        </w:tc>
        <w:tc>
          <w:tcPr>
            <w:tcW w:type="dxa" w:w="3024"/>
          </w:tcPr>
          <w:p>
            <w:r>
              <w:rPr>
                <w:rFonts w:ascii="Times New Roman" w:hAnsi="Times New Roman"/>
                <w:b/>
                <w:sz w:val="20"/>
              </w:rPr>
              <w:t>Mediation-Haltung</w:t>
            </w:r>
          </w:p>
        </w:tc>
      </w:tr>
      <w:tr>
        <w:tc>
          <w:tcPr>
            <w:tcW w:type="dxa" w:w="3024"/>
          </w:tcPr>
          <w:p>
            <w:r>
              <w:rPr>
                <w:rFonts w:ascii="Times New Roman" w:hAnsi="Times New Roman"/>
                <w:sz w:val="20"/>
              </w:rPr>
              <w:t>Henrike (Mandantin)</w:t>
            </w:r>
          </w:p>
        </w:tc>
        <w:tc>
          <w:tcPr>
            <w:tcW w:type="dxa" w:w="3024"/>
          </w:tcPr>
          <w:p>
            <w:r>
              <w:rPr>
                <w:rFonts w:ascii="Times New Roman" w:hAnsi="Times New Roman"/>
                <w:sz w:val="20"/>
              </w:rPr>
              <w:t>Schnelle Auseinandersetzung, Krypto-Sicherung, Pflichtteilsergänzung gegen Constantin</w:t>
            </w:r>
          </w:p>
        </w:tc>
        <w:tc>
          <w:tcPr>
            <w:tcW w:type="dxa" w:w="3024"/>
          </w:tcPr>
          <w:p>
            <w:r>
              <w:rPr>
                <w:rFonts w:ascii="Times New Roman" w:hAnsi="Times New Roman"/>
                <w:sz w:val="20"/>
              </w:rPr>
              <w:t>Offen für Mediation, wenn sie nicht verzögert</w:t>
            </w:r>
          </w:p>
        </w:tc>
      </w:tr>
      <w:tr>
        <w:tc>
          <w:tcPr>
            <w:tcW w:type="dxa" w:w="3024"/>
          </w:tcPr>
          <w:p>
            <w:r>
              <w:rPr>
                <w:rFonts w:ascii="Times New Roman" w:hAnsi="Times New Roman"/>
                <w:sz w:val="20"/>
              </w:rPr>
              <w:t>Marlies</w:t>
            </w:r>
          </w:p>
        </w:tc>
        <w:tc>
          <w:tcPr>
            <w:tcW w:type="dxa" w:w="3024"/>
          </w:tcPr>
          <w:p>
            <w:r>
              <w:rPr>
                <w:rFonts w:ascii="Times New Roman" w:hAnsi="Times New Roman"/>
                <w:sz w:val="20"/>
              </w:rPr>
              <w:t>Wohnrecht sichern, 1/3 Erbanteil behalten, LV behalten</w:t>
            </w:r>
          </w:p>
        </w:tc>
        <w:tc>
          <w:tcPr>
            <w:tcW w:type="dxa" w:w="3024"/>
          </w:tcPr>
          <w:p>
            <w:r>
              <w:rPr>
                <w:rFonts w:ascii="Times New Roman" w:hAnsi="Times New Roman"/>
                <w:sz w:val="20"/>
              </w:rPr>
              <w:t>Unbekannt; RA Strecker ist konfrontativ</w:t>
            </w:r>
          </w:p>
        </w:tc>
      </w:tr>
      <w:tr>
        <w:tc>
          <w:tcPr>
            <w:tcW w:type="dxa" w:w="3024"/>
          </w:tcPr>
          <w:p>
            <w:r>
              <w:rPr>
                <w:rFonts w:ascii="Times New Roman" w:hAnsi="Times New Roman"/>
                <w:sz w:val="20"/>
              </w:rPr>
              <w:t>Constantin</w:t>
            </w:r>
          </w:p>
        </w:tc>
        <w:tc>
          <w:tcPr>
            <w:tcW w:type="dxa" w:w="3024"/>
          </w:tcPr>
          <w:p>
            <w:r>
              <w:rPr>
                <w:rFonts w:ascii="Times New Roman" w:hAnsi="Times New Roman"/>
                <w:sz w:val="20"/>
              </w:rPr>
              <w:t>Krypto für sich behalten, minimale Beteiligung am Nachlass</w:t>
            </w:r>
          </w:p>
        </w:tc>
        <w:tc>
          <w:tcPr>
            <w:tcW w:type="dxa" w:w="3024"/>
          </w:tcPr>
          <w:p>
            <w:r>
              <w:rPr>
                <w:rFonts w:ascii="Times New Roman" w:hAnsi="Times New Roman"/>
                <w:sz w:val="20"/>
              </w:rPr>
              <w:t>Feindlich gegenüber Klage; könnte Mediation bevorzugen</w:t>
            </w:r>
          </w:p>
        </w:tc>
      </w:tr>
      <w:tr>
        <w:tc>
          <w:tcPr>
            <w:tcW w:type="dxa" w:w="3024"/>
          </w:tcPr>
          <w:p>
            <w:r>
              <w:rPr>
                <w:rFonts w:ascii="Times New Roman" w:hAnsi="Times New Roman"/>
                <w:sz w:val="20"/>
              </w:rPr>
              <w:t>Marie-Theres</w:t>
            </w:r>
          </w:p>
        </w:tc>
        <w:tc>
          <w:tcPr>
            <w:tcW w:type="dxa" w:w="3024"/>
          </w:tcPr>
          <w:p>
            <w:r>
              <w:rPr>
                <w:rFonts w:ascii="Times New Roman" w:hAnsi="Times New Roman"/>
                <w:sz w:val="20"/>
              </w:rPr>
              <w:t>Schnelle Auszahlung ihres Erbanteils, ggf. Pflichtteilserhöhung</w:t>
            </w:r>
          </w:p>
        </w:tc>
        <w:tc>
          <w:tcPr>
            <w:tcW w:type="dxa" w:w="3024"/>
          </w:tcPr>
          <w:p>
            <w:r>
              <w:rPr>
                <w:rFonts w:ascii="Times New Roman" w:hAnsi="Times New Roman"/>
                <w:sz w:val="20"/>
              </w:rPr>
              <w:t>Offen</w:t>
            </w:r>
          </w:p>
        </w:tc>
      </w:tr>
    </w:tbl>
    <w:p>
      <w:pPr>
        <w:jc w:val="left"/>
      </w:pPr>
      <w:r>
        <w:t xml:space="preserve">Trotz der Komplexität gibt es einen </w:t>
      </w:r>
      <w:r>
        <w:rPr>
          <w:b/>
        </w:rPr>
        <w:t>mediationsfähigen Kern</w:t>
      </w:r>
      <w:r>
        <w:t>: Der Nachlasswert ist groß genug (4 Mio. EUR), dass alle Parteien substantiell profitieren könnten, wenn eine zügige Einigung das jahrelange Prozessrisiko vermeidet.</w:t>
      </w:r>
    </w:p>
    <w:p>
      <w:pPr>
        <w:jc w:val="left"/>
      </w:pPr>
      <w:r>
        <w:rPr>
          <w:b/>
        </w:rPr>
        <w:t>Besonderheit Krypto:</w:t>
      </w:r>
      <w:r>
        <w:t xml:space="preserve"> Die Multisig-Wallet ist in ihrer technischen Struktur de facto ein Verhandlungschip: Ohne Kooperation aller relevanten Schlüsselinhaber (oder Gerichtsbeschluss) kommt niemand allein ans Geld. Das schafft einen echten Einigungszwang.</w:t>
      </w:r>
    </w:p>
    <w:p/>
    <w:p>
      <w:pPr>
        <w:pStyle w:val="Heading2"/>
      </w:pPr>
      <w:r>
        <w:rPr>
          <w:rFonts w:ascii="Times New Roman" w:hAnsi="Times New Roman"/>
        </w:rPr>
        <w:t>2. Mediationsformat</w:t>
      </w:r>
    </w:p>
    <w:p>
      <w:pPr>
        <w:jc w:val="left"/>
      </w:pPr>
      <w:r>
        <w:t xml:space="preserve">Die Kanzlei empfiehlt das </w:t>
      </w:r>
      <w:r>
        <w:rPr>
          <w:b/>
        </w:rPr>
        <w:t>Cochemer Modell der Erbmediation</w:t>
      </w:r>
      <w:r>
        <w:t xml:space="preserve"> (entwickelt aus dem Familienrechtsprojekt Cochem, angepasst für Erbrechtssachen): kooperatives, interessenorientiertes Verfahren unter Einbeziehung aller Parteien und ihrer Anwälte.</w:t>
      </w:r>
    </w:p>
    <w:p>
      <w:pPr>
        <w:jc w:val="left"/>
      </w:pPr>
      <w:r>
        <w:rPr>
          <w:b/>
        </w:rPr>
        <w:t>Vorgeschlagener Mediator:</w:t>
      </w:r>
      <w:r>
        <w:t xml:space="preserve"> Prof. Dr. Kerstin Braunwald, Fachanwältin Erbrecht und zertifizierte Mediatorin (MfM e.V.), Stuttgart. Sie ist dem Nachlassgericht Stuttgart bekannt und hat in zwei ähnlichen Patchwork-Erbfällen mediiert.</w:t>
      </w:r>
    </w:p>
    <w:p>
      <w:pPr>
        <w:jc w:val="left"/>
      </w:pPr>
      <w:r>
        <w:rPr>
          <w:b/>
        </w:rPr>
        <w:t>Alternativer Mediator:</w:t>
      </w:r>
      <w:r>
        <w:t xml:space="preserve"> Wenn keine Einigung über die Person erzielt wird: Benennung durch den BRAK-Ombudsmann für Mediationssachen.</w:t>
      </w:r>
    </w:p>
    <w:p/>
    <w:p>
      <w:pPr>
        <w:pStyle w:val="Heading2"/>
      </w:pPr>
      <w:r>
        <w:rPr>
          <w:rFonts w:ascii="Times New Roman" w:hAnsi="Times New Roman"/>
        </w:rPr>
        <w:t>3. Ablaufplan (Entwurfsphase)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Phase</w:t>
            </w:r>
          </w:p>
        </w:tc>
        <w:tc>
          <w:tcPr>
            <w:tcW w:type="dxa" w:w="3024"/>
          </w:tcPr>
          <w:p>
            <w:r>
              <w:rPr>
                <w:rFonts w:ascii="Times New Roman" w:hAnsi="Times New Roman"/>
                <w:b/>
                <w:sz w:val="20"/>
              </w:rPr>
              <w:t>Inhalt</w:t>
            </w:r>
          </w:p>
        </w:tc>
        <w:tc>
          <w:tcPr>
            <w:tcW w:type="dxa" w:w="3024"/>
          </w:tcPr>
          <w:p>
            <w:r>
              <w:rPr>
                <w:rFonts w:ascii="Times New Roman" w:hAnsi="Times New Roman"/>
                <w:b/>
                <w:sz w:val="20"/>
              </w:rPr>
              <w:t>Zeitrahmen</w:t>
            </w:r>
          </w:p>
        </w:tc>
      </w:tr>
      <w:tr>
        <w:tc>
          <w:tcPr>
            <w:tcW w:type="dxa" w:w="3024"/>
          </w:tcPr>
          <w:p>
            <w:r>
              <w:rPr>
                <w:rFonts w:ascii="Times New Roman" w:hAnsi="Times New Roman"/>
                <w:sz w:val="20"/>
              </w:rPr>
              <w:t>Phase 0: Vorklärung</w:t>
            </w:r>
          </w:p>
        </w:tc>
        <w:tc>
          <w:tcPr>
            <w:tcW w:type="dxa" w:w="3024"/>
          </w:tcPr>
          <w:p>
            <w:r>
              <w:rPr>
                <w:rFonts w:ascii="Times New Roman" w:hAnsi="Times New Roman"/>
                <w:sz w:val="20"/>
              </w:rPr>
              <w:t>Kanzlei-intern; Einschätzung ob alle vier Parteien teilnahmewillig. Anschreiben an Strecker (Marlies), Pellegrini (Marie-Theres), Constantin direkt.</w:t>
            </w:r>
          </w:p>
        </w:tc>
        <w:tc>
          <w:tcPr>
            <w:tcW w:type="dxa" w:w="3024"/>
          </w:tcPr>
          <w:p>
            <w:r>
              <w:rPr>
                <w:rFonts w:ascii="Times New Roman" w:hAnsi="Times New Roman"/>
                <w:sz w:val="20"/>
              </w:rPr>
              <w:t>15.–22.05.2025</w:t>
            </w:r>
          </w:p>
        </w:tc>
      </w:tr>
      <w:tr>
        <w:tc>
          <w:tcPr>
            <w:tcW w:type="dxa" w:w="3024"/>
          </w:tcPr>
          <w:p>
            <w:r>
              <w:rPr>
                <w:rFonts w:ascii="Times New Roman" w:hAnsi="Times New Roman"/>
                <w:sz w:val="20"/>
              </w:rPr>
              <w:t>Phase 1: Erstgespräch Mediator</w:t>
            </w:r>
          </w:p>
        </w:tc>
        <w:tc>
          <w:tcPr>
            <w:tcW w:type="dxa" w:w="3024"/>
          </w:tcPr>
          <w:p>
            <w:r>
              <w:rPr>
                <w:rFonts w:ascii="Times New Roman" w:hAnsi="Times New Roman"/>
                <w:sz w:val="20"/>
              </w:rPr>
              <w:t>Einzelgespräche des Mediators mit jeder Partei (45 Min. je Partei). Mediator klärt Interessen, Bereitschaft, Vertraulichkeit.</w:t>
            </w:r>
          </w:p>
        </w:tc>
        <w:tc>
          <w:tcPr>
            <w:tcW w:type="dxa" w:w="3024"/>
          </w:tcPr>
          <w:p>
            <w:r>
              <w:rPr>
                <w:rFonts w:ascii="Times New Roman" w:hAnsi="Times New Roman"/>
                <w:sz w:val="20"/>
              </w:rPr>
              <w:t>23.05.–06.06.2025</w:t>
            </w:r>
          </w:p>
        </w:tc>
      </w:tr>
      <w:tr>
        <w:tc>
          <w:tcPr>
            <w:tcW w:type="dxa" w:w="3024"/>
          </w:tcPr>
          <w:p>
            <w:r>
              <w:rPr>
                <w:rFonts w:ascii="Times New Roman" w:hAnsi="Times New Roman"/>
                <w:sz w:val="20"/>
              </w:rPr>
              <w:t>Phase 2: Gemeinsame Sitzung I</w:t>
            </w:r>
          </w:p>
        </w:tc>
        <w:tc>
          <w:tcPr>
            <w:tcW w:type="dxa" w:w="3024"/>
          </w:tcPr>
          <w:p>
            <w:r>
              <w:rPr>
                <w:rFonts w:ascii="Times New Roman" w:hAnsi="Times New Roman"/>
                <w:sz w:val="20"/>
              </w:rPr>
              <w:t>Sachverhaltsklärung, Vermögensaufnahme, Bewertungsfragen (Grundstück, Krypto, Depot). SV Bender &amp; Mörser nimmt teil. Dauer: 1 Tag (9–17 Uhr).</w:t>
            </w:r>
          </w:p>
        </w:tc>
        <w:tc>
          <w:tcPr>
            <w:tcW w:type="dxa" w:w="3024"/>
          </w:tcPr>
          <w:p>
            <w:r>
              <w:rPr>
                <w:rFonts w:ascii="Times New Roman" w:hAnsi="Times New Roman"/>
                <w:sz w:val="20"/>
              </w:rPr>
              <w:t>13.06.2025 (Vorschlag)</w:t>
            </w:r>
          </w:p>
        </w:tc>
      </w:tr>
      <w:tr>
        <w:tc>
          <w:tcPr>
            <w:tcW w:type="dxa" w:w="3024"/>
          </w:tcPr>
          <w:p>
            <w:r>
              <w:rPr>
                <w:rFonts w:ascii="Times New Roman" w:hAnsi="Times New Roman"/>
                <w:sz w:val="20"/>
              </w:rPr>
              <w:t>Phase 3: Themenblock Krypto</w:t>
            </w:r>
          </w:p>
        </w:tc>
        <w:tc>
          <w:tcPr>
            <w:tcW w:type="dxa" w:w="3024"/>
          </w:tcPr>
          <w:p>
            <w:r>
              <w:rPr>
                <w:rFonts w:ascii="Times New Roman" w:hAnsi="Times New Roman"/>
                <w:sz w:val="20"/>
              </w:rPr>
              <w:t>Technische Erläuterung Multisig durch SV Wandke; Diskussion Zuordnung und Verteilung der Krypto-Assets; Constantin präsentiert seinen Standpunkt.</w:t>
            </w:r>
          </w:p>
        </w:tc>
        <w:tc>
          <w:tcPr>
            <w:tcW w:type="dxa" w:w="3024"/>
          </w:tcPr>
          <w:p>
            <w:r>
              <w:rPr>
                <w:rFonts w:ascii="Times New Roman" w:hAnsi="Times New Roman"/>
                <w:sz w:val="20"/>
              </w:rPr>
              <w:t>20.06.2025</w:t>
            </w:r>
          </w:p>
        </w:tc>
      </w:tr>
      <w:tr>
        <w:tc>
          <w:tcPr>
            <w:tcW w:type="dxa" w:w="3024"/>
          </w:tcPr>
          <w:p>
            <w:r>
              <w:rPr>
                <w:rFonts w:ascii="Times New Roman" w:hAnsi="Times New Roman"/>
                <w:sz w:val="20"/>
              </w:rPr>
              <w:t>Phase 4: Themenblock Haus/Wohnrecht</w:t>
            </w:r>
          </w:p>
        </w:tc>
        <w:tc>
          <w:tcPr>
            <w:tcW w:type="dxa" w:w="3024"/>
          </w:tcPr>
          <w:p>
            <w:r>
              <w:rPr>
                <w:rFonts w:ascii="Times New Roman" w:hAnsi="Times New Roman"/>
                <w:sz w:val="20"/>
              </w:rPr>
              <w:t>Wohnrecht Marlies, Bewertung, Ablösungsszenarien, Teilungsversteigerungsrisiko.</w:t>
            </w:r>
          </w:p>
        </w:tc>
        <w:tc>
          <w:tcPr>
            <w:tcW w:type="dxa" w:w="3024"/>
          </w:tcPr>
          <w:p>
            <w:r>
              <w:rPr>
                <w:rFonts w:ascii="Times New Roman" w:hAnsi="Times New Roman"/>
                <w:sz w:val="20"/>
              </w:rPr>
              <w:t>27.06.2025</w:t>
            </w:r>
          </w:p>
        </w:tc>
      </w:tr>
      <w:tr>
        <w:tc>
          <w:tcPr>
            <w:tcW w:type="dxa" w:w="3024"/>
          </w:tcPr>
          <w:p>
            <w:r>
              <w:rPr>
                <w:rFonts w:ascii="Times New Roman" w:hAnsi="Times New Roman"/>
                <w:sz w:val="20"/>
              </w:rPr>
              <w:t>Phase 5: Vergleichskorridore</w:t>
            </w:r>
          </w:p>
        </w:tc>
        <w:tc>
          <w:tcPr>
            <w:tcW w:type="dxa" w:w="3024"/>
          </w:tcPr>
          <w:p>
            <w:r>
              <w:rPr>
                <w:rFonts w:ascii="Times New Roman" w:hAnsi="Times New Roman"/>
                <w:sz w:val="20"/>
              </w:rPr>
              <w:t>Parteien legen Mindest- und Maximalforderungen vor; Mediator sucht Schnittmengen; Einigungsentwurf wird erarbeitet.</w:t>
            </w:r>
          </w:p>
        </w:tc>
        <w:tc>
          <w:tcPr>
            <w:tcW w:type="dxa" w:w="3024"/>
          </w:tcPr>
          <w:p>
            <w:r>
              <w:rPr>
                <w:rFonts w:ascii="Times New Roman" w:hAnsi="Times New Roman"/>
                <w:sz w:val="20"/>
              </w:rPr>
              <w:t>04.07.2025</w:t>
            </w:r>
          </w:p>
        </w:tc>
      </w:tr>
      <w:tr>
        <w:tc>
          <w:tcPr>
            <w:tcW w:type="dxa" w:w="3024"/>
          </w:tcPr>
          <w:p>
            <w:r>
              <w:rPr>
                <w:rFonts w:ascii="Times New Roman" w:hAnsi="Times New Roman"/>
                <w:sz w:val="20"/>
              </w:rPr>
              <w:t>Phase 6: Abschluss</w:t>
            </w:r>
          </w:p>
        </w:tc>
        <w:tc>
          <w:tcPr>
            <w:tcW w:type="dxa" w:w="3024"/>
          </w:tcPr>
          <w:p>
            <w:r>
              <w:rPr>
                <w:rFonts w:ascii="Times New Roman" w:hAnsi="Times New Roman"/>
                <w:sz w:val="20"/>
              </w:rPr>
              <w:t>Notarielle Beurkundung der Einigung (ggf. als Erbauseinandersetzungsvertrag).</w:t>
            </w:r>
          </w:p>
        </w:tc>
        <w:tc>
          <w:tcPr>
            <w:tcW w:type="dxa" w:w="3024"/>
          </w:tcPr>
          <w:p>
            <w:r>
              <w:rPr>
                <w:rFonts w:ascii="Times New Roman" w:hAnsi="Times New Roman"/>
                <w:sz w:val="20"/>
              </w:rPr>
              <w:t>Aug. 2025</w:t>
            </w:r>
          </w:p>
        </w:tc>
      </w:tr>
    </w:tbl>
    <w:p/>
    <w:p>
      <w:pPr>
        <w:pStyle w:val="Heading2"/>
      </w:pPr>
      <w:r>
        <w:rPr>
          <w:rFonts w:ascii="Times New Roman" w:hAnsi="Times New Roman"/>
        </w:rPr>
        <w:t>4. Kernstreitpunkte und mögliche Lösungsansätze</w:t>
      </w:r>
    </w:p>
    <w:p>
      <w:pPr>
        <w:pStyle w:val="Heading3"/>
      </w:pPr>
      <w:r>
        <w:rPr>
          <w:rFonts w:ascii="Times New Roman" w:hAnsi="Times New Roman"/>
        </w:rPr>
        <w:t>4.1 Krypto-Assets</w:t>
      </w:r>
    </w:p>
    <w:p>
      <w:pPr>
        <w:jc w:val="left"/>
      </w:pPr>
      <w:r>
        <w:rPr>
          <w:b/>
        </w:rPr>
        <w:t>Mögliche Lösung:</w:t>
      </w:r>
      <w:r>
        <w:t xml:space="preserve"> Constantin übernimmt die Krypto-Assets zu einem vereinbarten Abrechnungskurs (z. B. Schlusskurs 12.03.2025: 1.100.000 EUR) und zahlt die anderen Erben anteilig aus. Seine bisherigen Schenkungen werden im Weg der Anrechnung berücksichtigt (d. h. sein Auszahlungsanspruch wird um die Schenkungen gekürzt). Er gibt den Ergänzungsanspruch Henrikes auf sich nehmen, bezahlt diese aber direkt.</w:t>
      </w:r>
    </w:p>
    <w:p>
      <w:pPr>
        <w:jc w:val="left"/>
      </w:pPr>
      <w:r>
        <w:rPr>
          <w:b/>
        </w:rPr>
        <w:t>Risiko dieser Lösung:</w:t>
      </w:r>
      <w:r>
        <w:t xml:space="preserve"> Kursveränderung zwischen Erbfall und Zahlung; wenn BTC weiter steigt, verliert die Erbengemeinschaft. Absicherung durch Stichtagskurs oder Kryptoübertragung statt Barauszahlung.</w:t>
      </w:r>
    </w:p>
    <w:p>
      <w:pPr>
        <w:pStyle w:val="Heading3"/>
      </w:pPr>
      <w:r>
        <w:rPr>
          <w:rFonts w:ascii="Times New Roman" w:hAnsi="Times New Roman"/>
        </w:rPr>
        <w:t>4.2 Haus und Wohnrecht Marlies</w:t>
      </w:r>
    </w:p>
    <w:p>
      <w:pPr>
        <w:jc w:val="left"/>
      </w:pPr>
      <w:r>
        <w:rPr>
          <w:b/>
        </w:rPr>
        <w:t>Mögliche Lösung A:</w:t>
      </w:r>
      <w:r>
        <w:t xml:space="preserve"> Marlies kauft die Anteile der Miterben (Henrike und Marie-Theres) an dem Haus zu einem zwischen SV Bender und SV Klever vereinbarten Mittelwert. Finanzierung durch Teilentnahme aus LV oder Kredit (Miet-/Renteneinkünfte Marlies).</w:t>
      </w:r>
    </w:p>
    <w:p>
      <w:pPr>
        <w:jc w:val="left"/>
      </w:pPr>
      <w:r>
        <w:rPr>
          <w:b/>
        </w:rPr>
        <w:t>Mögliche Lösung B:</w:t>
      </w:r>
      <w:r>
        <w:t xml:space="preserve"> Das Haus wird veräußert; Marlies erhält einen Geldbetrag als Wohnrechts-Ablösung (ca. 350.000 EUR nach Barwertberechnung), der Rest geht an die Erbengemeinschaft.</w:t>
      </w:r>
    </w:p>
    <w:p>
      <w:pPr>
        <w:jc w:val="left"/>
      </w:pPr>
      <w:r>
        <w:rPr>
          <w:b/>
        </w:rPr>
        <w:t>Mögliche Lösung C:</w:t>
      </w:r>
      <w:r>
        <w:t xml:space="preserve"> Marlies bleibt und zahlt Mietverhältnis-äquivalente an die Erbengemeinschaft während der Wohnrechtszeit — wirtschaftlich suboptimal für sie, aber die anderen Erben erhalten laufende Einkünfte.</w:t>
      </w:r>
    </w:p>
    <w:p>
      <w:pPr>
        <w:pStyle w:val="Heading3"/>
      </w:pPr>
      <w:r>
        <w:rPr>
          <w:rFonts w:ascii="Times New Roman" w:hAnsi="Times New Roman"/>
        </w:rPr>
        <w:t>4.3 Marie-Theres Anfechtung Verzicht</w:t>
      </w:r>
    </w:p>
    <w:p>
      <w:pPr>
        <w:jc w:val="left"/>
      </w:pPr>
      <w:r>
        <w:rPr>
          <w:b/>
        </w:rPr>
        <w:t>Mögliche Lösung:</w:t>
      </w:r>
      <w:r>
        <w:t xml:space="preserve"> Marie-Theres erklärt sich bereit, den Verzicht aufrechtzuerhalten, erhält aber eine Zusatzzahlung aus dem Nachlass (z. B. 30.000–60.000 EUR), die ihr Verzichtsopfer besser kompensiert. Im Gegenzug zieht sie alle Anfechtungsandrohungen zurück.</w:t>
      </w:r>
    </w:p>
    <w:p/>
    <w:p>
      <w:pPr>
        <w:pStyle w:val="Heading2"/>
      </w:pPr>
      <w:r>
        <w:rPr>
          <w:rFonts w:ascii="Times New Roman" w:hAnsi="Times New Roman"/>
        </w:rPr>
        <w:t>5. Risiken der Mediation</w:t>
      </w:r>
    </w:p>
    <w:p>
      <w:pPr>
        <w:pStyle w:val="ListBullet"/>
      </w:pPr>
      <w:r>
        <w:rPr>
          <w:b/>
        </w:rPr>
        <w:t>Zeitverzug:</w:t>
      </w:r>
      <w:r>
        <w:t xml:space="preserve"> Wenn die Mediation scheitert oder sehr lange dauert, kann Constantin in der Zwischenzeit versuchen, auf die Wallet zuzugreifen. Der einstweilige Rechtsschutzantrag ist daher unabhängig von der Mediation zu verfolgen.</w:t>
      </w:r>
    </w:p>
    <w:p>
      <w:pPr>
        <w:pStyle w:val="ListBullet"/>
      </w:pPr>
      <w:r>
        <w:rPr>
          <w:b/>
        </w:rPr>
        <w:t>Taktisches Verzögern:</w:t>
      </w:r>
      <w:r>
        <w:t xml:space="preserve"> Marlies oder Constantin könnten die Mediation nur nutzen, um Zeit zu gewinnen. Klare Zeitplanung und Mediationspflicht sind einzufordern.</w:t>
      </w:r>
    </w:p>
    <w:p>
      <w:pPr>
        <w:pStyle w:val="ListBullet"/>
      </w:pPr>
      <w:r>
        <w:rPr>
          <w:b/>
        </w:rPr>
        <w:t>Keine Vollstreckbarkeit:</w:t>
      </w:r>
      <w:r>
        <w:t xml:space="preserve"> Mediationsergebnis ist nur nach notarieller Beurkundung oder Vergleich vor Gericht vollstreckbar. Vereinbarungen nur in dieser Form treffen.</w:t>
      </w:r>
    </w:p>
    <w:p>
      <w:pPr>
        <w:pStyle w:val="ListBullet"/>
      </w:pPr>
      <w:r>
        <w:rPr>
          <w:b/>
        </w:rPr>
        <w:t>Kosten:</w:t>
      </w:r>
      <w:r>
        <w:t xml:space="preserve"> Mediator Braunwald: ca. 250 EUR/Stunde; ca. 10 Sitzungstage à 8 Stunden = 20.000 EUR, auf Parteien aufgeteilt = ca. 5.000 EUR je Partei. Zuzüglich Anwaltskosten. Vergleich zum Klagerisiko: günstiger.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