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Korrespondenz mit RA Strecker (Marlies Edelmann-Praun) — Mai 2025</w:t>
      </w:r>
    </w:p>
    <w:p>
      <w:pPr>
        <w:jc w:val="left"/>
      </w:pPr>
      <w:r>
        <w:rPr>
          <w:b/>
        </w:rPr>
        <w:t>Az.:</w:t>
      </w:r>
      <w:r>
        <w:t xml:space="preserve"> KlKette 025/0422-ERB-EDE</w:t>
      </w:r>
    </w:p>
    <w:p>
      <w:pPr>
        <w:jc w:val="left"/>
      </w:pPr>
      <w:r>
        <w:rPr>
          <w:b/>
        </w:rPr>
        <w:t>Gegnerische Kanzlei:</w:t>
      </w:r>
      <w:r>
        <w:t xml:space="preserve"> Kanzlei Strecker &amp; Hoffmann, Königstraße 15a, 70173 Stuttgart</w:t>
      </w:r>
    </w:p>
    <w:p>
      <w:pPr>
        <w:jc w:val="left"/>
      </w:pPr>
      <w:r>
        <w:rPr>
          <w:b/>
        </w:rPr>
        <w:t>Anwalt Gegenseite:</w:t>
      </w:r>
      <w:r>
        <w:t xml:space="preserve"> RA Dr. Joachim Strecker, Fachanwalt Erbrecht und Familienrecht</w:t>
      </w:r>
    </w:p>
    <w:p>
      <w:pPr>
        <w:jc w:val="left"/>
      </w:pPr>
      <w:r>
        <w:rPr>
          <w:b/>
        </w:rPr>
        <w:t>Mandant Gegenseite:</w:t>
      </w:r>
      <w:r>
        <w:t xml:space="preserve"> Marlies Edelmann-Praun</w:t>
      </w:r>
    </w:p>
    <w:p>
      <w:pPr>
        <w:jc w:val="left"/>
      </w:pPr>
      <w:r>
        <w:rPr>
          <w:b/>
        </w:rPr>
        <w:t>Stand:</w:t>
      </w:r>
      <w:r>
        <w:t xml:space="preserve"> 22.05.2025</w:t>
      </w:r>
    </w:p>
    <w:p/>
    <w:p>
      <w:pPr>
        <w:pStyle w:val="Heading2"/>
      </w:pPr>
      <w:r>
        <w:rPr>
          <w:rFonts w:ascii="Times New Roman" w:hAnsi="Times New Roman"/>
        </w:rPr>
        <w:t>1. Erstkontakt (05.05.2025 — Telefon)</w:t>
      </w:r>
    </w:p>
    <w:p>
      <w:pPr>
        <w:jc w:val="left"/>
      </w:pPr>
      <w:r>
        <w:t>RA Dr. Strecker hat am 05.05.2025 um 11:45 Uhr bei RAin Steinkamp angerufen. Gesprächsnotiz:</w:t>
      </w:r>
    </w:p>
    <w:p>
      <w:pPr>
        <w:ind w:left="567"/>
      </w:pPr>
      <w:r>
        <w:rPr>
          <w:i/>
        </w:rPr>
        <w:t>Strecker erklärt, er vertrete Frau Edelmann-Praun. Er meldet sich im Zusammenhang mit dem Erbfall nach Prof. Dr. Edelmann. Er weist darauf hin, dass seine Mandantin das Wohnrecht unbedingt durchsetzen werde und im Übrigen auf ihrem Erbteil von 1/3 bestehe. Er erwähnt, dass seine Mandantin „auch den Voraus nach § 1932 BGB prüft" — er kündigt an, hierzu eine Berechnung anzustellen. Er fragt, ob unsere Kanzlei Vollmacht für Henrike habe und wer die anderen Erben vertrete. Auf Nachfrage von RAin Steinkamp, ob Frau Edelmann-Praun den Erblasser-Stick herausgeben werde: Strecker weicht aus, sagt, seine Mandantin kenne sich „mit diesen technischen Geräten nicht aus" und habe das Gerät „sicher verwahrt". Er sagt, er werde schriftlich antworten.</w:t>
      </w:r>
    </w:p>
    <w:p/>
    <w:p>
      <w:pPr>
        <w:pStyle w:val="Heading2"/>
      </w:pPr>
      <w:r>
        <w:rPr>
          <w:rFonts w:ascii="Times New Roman" w:hAnsi="Times New Roman"/>
        </w:rPr>
        <w:t>2. Schreiben Strecker an Kanzlei Klotzkette vom 22.05.2025</w:t>
      </w:r>
    </w:p>
    <w:p>
      <w:pPr>
        <w:jc w:val="left"/>
      </w:pPr>
      <w:r>
        <w:rPr>
          <w:i/>
        </w:rPr>
        <w:t>(E-Mail als EML: `emails/2025-05-22_strecker_an_kanzlei_wohnrecht.eml`; nachfolgende Wiedergabe des Inhalts)</w:t>
      </w:r>
    </w:p>
    <w:p>
      <w:pPr>
        <w:ind w:left="567"/>
      </w:pPr>
      <w:r>
        <w:rPr>
          <w:b/>
          <w:i/>
        </w:rPr>
        <w:t>Kanzlei Strecker &amp; Hoffmann</w:t>
      </w:r>
    </w:p>
    <w:p>
      <w:pPr>
        <w:ind w:left="567"/>
      </w:pPr>
      <w:r>
        <w:rPr>
          <w:i/>
        </w:rPr>
        <w:t>Königstraße 15a, 70173 Stuttgart</w:t>
      </w:r>
    </w:p>
    <w:p>
      <w:pPr>
        <w:ind w:left="567"/>
      </w:pPr>
      <w:r>
        <w:rPr>
          <w:i/>
        </w:rPr>
        <w:t>Tel.: 0711 / 38 44 77-0</w:t>
      </w:r>
    </w:p>
    <w:p>
      <w:pPr>
        <w:ind w:left="567"/>
      </w:pPr>
      <w:r>
        <w:rPr>
          <w:i/>
        </w:rPr>
        <w:t>E-Mail: strecker@strecker-hoffmann.de</w:t>
      </w:r>
    </w:p>
    <w:p>
      <w:pPr>
        <w:ind w:left="567"/>
      </w:pPr>
    </w:p>
    <w:p>
      <w:pPr>
        <w:ind w:left="567"/>
      </w:pPr>
      <w:r>
        <w:rPr>
          <w:i/>
        </w:rPr>
        <w:t>Klotzkette Rechtsanwaltsgesellschaft mbH</w:t>
      </w:r>
    </w:p>
    <w:p>
      <w:pPr>
        <w:ind w:left="567"/>
      </w:pPr>
      <w:r>
        <w:rPr>
          <w:i/>
        </w:rPr>
        <w:t>RAin Sabine Steinkamp</w:t>
      </w:r>
    </w:p>
    <w:p>
      <w:pPr>
        <w:ind w:left="567"/>
      </w:pPr>
      <w:r>
        <w:rPr>
          <w:i/>
        </w:rPr>
        <w:t>Friedrichstraße 112</w:t>
      </w:r>
    </w:p>
    <w:p>
      <w:pPr>
        <w:ind w:left="567"/>
      </w:pPr>
      <w:r>
        <w:rPr>
          <w:i/>
        </w:rPr>
        <w:t>10117 Berlin</w:t>
      </w:r>
    </w:p>
    <w:p>
      <w:pPr>
        <w:ind w:left="567"/>
      </w:pPr>
    </w:p>
    <w:p>
      <w:pPr>
        <w:ind w:left="567"/>
      </w:pPr>
      <w:r>
        <w:rPr>
          <w:i/>
        </w:rPr>
        <w:t>Stuttgart, 22. Mai 2025</w:t>
      </w:r>
    </w:p>
    <w:p>
      <w:pPr>
        <w:ind w:left="567"/>
      </w:pPr>
    </w:p>
    <w:p>
      <w:pPr>
        <w:ind w:left="567"/>
      </w:pPr>
      <w:r>
        <w:rPr>
          <w:b/>
          <w:i/>
        </w:rPr>
        <w:t>In Sachen Erbfall Prof. Dr. Reinhard Edelmann, verst. 12.03.2025</w:t>
      </w:r>
    </w:p>
    <w:p>
      <w:pPr>
        <w:ind w:left="567"/>
      </w:pPr>
      <w:r>
        <w:rPr>
          <w:i/>
        </w:rPr>
        <w:t>Unser Az.: STR/2025/04-ERB-EDP</w:t>
      </w:r>
    </w:p>
    <w:p>
      <w:pPr>
        <w:ind w:left="567"/>
      </w:pPr>
    </w:p>
    <w:p>
      <w:pPr>
        <w:ind w:left="567"/>
      </w:pPr>
      <w:r>
        <w:rPr>
          <w:i/>
        </w:rPr>
        <w:t>Sehr geehrte Frau Kollegin,</w:t>
      </w:r>
    </w:p>
    <w:p>
      <w:pPr>
        <w:ind w:left="567"/>
      </w:pPr>
    </w:p>
    <w:p>
      <w:pPr>
        <w:ind w:left="567"/>
      </w:pPr>
      <w:r>
        <w:rPr>
          <w:i/>
        </w:rPr>
        <w:t>ich zeige an, dass ich Frau Marlies Edelmann-Praun, Sonnenbergstraße 38a, 70195 Stuttgart, in der vorbezeichneten Nachlasssache vertrete. Eine Vollmacht überreiche ich in Anlage.</w:t>
      </w:r>
    </w:p>
    <w:p>
      <w:pPr>
        <w:ind w:left="567"/>
      </w:pPr>
    </w:p>
    <w:p>
      <w:pPr>
        <w:ind w:left="567"/>
      </w:pPr>
      <w:r>
        <w:rPr>
          <w:b/>
          <w:i/>
        </w:rPr>
        <w:t>I. Wohnrecht als Vorausvermächtnis</w:t>
      </w:r>
    </w:p>
    <w:p>
      <w:pPr>
        <w:ind w:left="567"/>
      </w:pPr>
    </w:p>
    <w:p>
      <w:pPr>
        <w:ind w:left="567"/>
      </w:pPr>
      <w:r>
        <w:rPr>
          <w:i/>
        </w:rPr>
        <w:t>Das Testament des Erblassers vom 09.11.2019 gewährt meiner Mandantin ein lebenslänges unentgeltliches Wohnrecht am Hausgrundstück Sonnenbergstraße 38a als Vorausvermächtnis. Dieses Wohnrecht ist nach §§ 1093 i.V.m. 2150 BGB weder auf den Erbteil meiner Mandantin anzurechnen noch durch die Erbengemeinschaft ablösbar oder zu entschädigen, ohne dass meine Mandantin dem ausdrücklich zustimmt. Meiner Mandantin verbleibt das volle Wohnrecht unabhängig vom Ergebnis der Erbauseinandersetzung.</w:t>
      </w:r>
    </w:p>
    <w:p>
      <w:pPr>
        <w:ind w:left="567"/>
      </w:pPr>
    </w:p>
    <w:p>
      <w:pPr>
        <w:ind w:left="567"/>
      </w:pPr>
      <w:r>
        <w:rPr>
          <w:b/>
          <w:i/>
        </w:rPr>
        <w:t>II. Vorausteil nach § 1932 BGB</w:t>
      </w:r>
    </w:p>
    <w:p>
      <w:pPr>
        <w:ind w:left="567"/>
      </w:pPr>
    </w:p>
    <w:p>
      <w:pPr>
        <w:ind w:left="567"/>
      </w:pPr>
      <w:r>
        <w:rPr>
          <w:i/>
        </w:rPr>
        <w:t>Ich weise vorsorglich darauf hin, dass meine Mandantin prüft, ob neben dem Vorausvermächtnis auch der gesetzliche Vorausteil nach § 1932 BGB beansprucht werden kann. Nach dieser Vorschrift erhält der überlebende Ehegatte aus dem Nachlass vorweg den Hausrat und die Hochzeitsgeschenke. Ich bitte bis zum 05.06.2025 um Mitteilung, welches Inventar sich im Haus befindet und welche Gegenstände Sie für den Hausrat halten.</w:t>
      </w:r>
    </w:p>
    <w:p>
      <w:pPr>
        <w:ind w:left="567"/>
      </w:pPr>
    </w:p>
    <w:p>
      <w:pPr>
        <w:ind w:left="567"/>
      </w:pPr>
      <w:r>
        <w:rPr>
          <w:b/>
          <w:i/>
        </w:rPr>
        <w:t>III. Erblasser-Stick</w:t>
      </w:r>
    </w:p>
    <w:p>
      <w:pPr>
        <w:ind w:left="567"/>
      </w:pPr>
    </w:p>
    <w:p>
      <w:pPr>
        <w:ind w:left="567"/>
      </w:pPr>
      <w:r>
        <w:rPr>
          <w:i/>
        </w:rPr>
        <w:t>Meine Mandantin hat den sogenannten Erblasser-Stick (Hardware-Wallet-Gerät) ordnungsgemäß aus dem Tresor entnommen und sicher verwahrt. Es handelt sich um Gesamthandsvermögen der Erbengemeinschaft, und meine Mandantin ist als Miterbin berechtigt, es zu verwahren. Sie verweigert die Herausgabe an eine einzelne Partei, da die Erbengemeinschaft gemeinsam entscheiden muss. Eine Herausgabe an den Nachlassverwalter oder eine einstimmig bestimmte Stelle würde sie erwägen.</w:t>
      </w:r>
    </w:p>
    <w:p>
      <w:pPr>
        <w:ind w:left="567"/>
      </w:pPr>
    </w:p>
    <w:p>
      <w:pPr>
        <w:ind w:left="567"/>
      </w:pPr>
      <w:r>
        <w:rPr>
          <w:b/>
          <w:i/>
        </w:rPr>
        <w:t>IV. Kein eigenmächtiger Zugriff Dritter</w:t>
      </w:r>
    </w:p>
    <w:p>
      <w:pPr>
        <w:ind w:left="567"/>
      </w:pPr>
    </w:p>
    <w:p>
      <w:pPr>
        <w:ind w:left="567"/>
      </w:pPr>
      <w:r>
        <w:rPr>
          <w:i/>
        </w:rPr>
        <w:t>Meine Mandantin informiert, dass Constantin Edelmann sie am 17.05.2025 telefonisch unter Druck gesetzt und die Herausgabe des Sticks gefordert hat. Sie hat dies abgelehnt. Meiner Mandantin wurde erklärt, constantin habe bereits zwei Schlüssel und benötige nur einen weiteren. Die Situation ist besorgniserregend. Ich bitte Sie, Herrn Constantin Edelmann zu veranlassen, jedwede Einschüchterung meiner Mandantin zu unterlassen.</w:t>
      </w:r>
    </w:p>
    <w:p>
      <w:pPr>
        <w:ind w:left="567"/>
      </w:pPr>
    </w:p>
    <w:p>
      <w:pPr>
        <w:ind w:left="567"/>
      </w:pPr>
      <w:r>
        <w:rPr>
          <w:i/>
        </w:rPr>
        <w:t>Mit kollegialen Grüßen</w:t>
      </w:r>
    </w:p>
    <w:p>
      <w:pPr>
        <w:ind w:left="567"/>
      </w:pPr>
      <w:r>
        <w:rPr>
          <w:i/>
        </w:rPr>
        <w:t>Dr. Joachim Strecker</w:t>
      </w:r>
    </w:p>
    <w:p>
      <w:pPr>
        <w:ind w:left="567"/>
      </w:pPr>
      <w:r>
        <w:rPr>
          <w:i/>
        </w:rPr>
        <w:t>Rechtsanwalt</w:t>
      </w:r>
    </w:p>
    <w:p/>
    <w:p>
      <w:pPr>
        <w:pStyle w:val="Heading2"/>
      </w:pPr>
      <w:r>
        <w:rPr>
          <w:rFonts w:ascii="Times New Roman" w:hAnsi="Times New Roman"/>
        </w:rPr>
        <w:t>3. Interne Bewertung der Strecker-Positionen</w:t>
      </w:r>
    </w:p>
    <w:p>
      <w:pPr>
        <w:pStyle w:val="Heading3"/>
      </w:pPr>
      <w:r>
        <w:rPr>
          <w:rFonts w:ascii="Times New Roman" w:hAnsi="Times New Roman"/>
        </w:rPr>
        <w:t>3.1 Wohnrecht — Strecker hat recht</w:t>
      </w:r>
    </w:p>
    <w:p>
      <w:pPr>
        <w:jc w:val="left"/>
      </w:pPr>
      <w:r>
        <w:t>Die Rechtsposition zum Wohnrecht ist korrekt: Es ist Vorausvermächtnis, nicht anzurechnen, nur durch Einverständnis Marlies ablösbar. Kein Angriffspunkt.</w:t>
      </w:r>
    </w:p>
    <w:p>
      <w:pPr>
        <w:pStyle w:val="Heading3"/>
      </w:pPr>
      <w:r>
        <w:rPr>
          <w:rFonts w:ascii="Times New Roman" w:hAnsi="Times New Roman"/>
        </w:rPr>
        <w:t>3.2 § 1932 BGB Voraus</w:t>
      </w:r>
    </w:p>
    <w:p>
      <w:pPr>
        <w:jc w:val="left"/>
      </w:pPr>
      <w:r>
        <w:t>Der Voraus nach § 1932 BGB erfasst Hausrat und Hochzeitsgeschenke. Bei einem Nachlasswert von 4 Mio. EUR ist der wirtschaftliche Wert des Voraus erheblich, wenn Marlies z.B. die Kunstdrucke (90 TEUR) als „Hausrat" deklariert. Kunstdrucke sind in der Regel kein Hausrat i.S.d. § 1932 BGB (h.M.), wenn sie als Sammlungsobjekte gehalten werden. Die Alltagsmöbel und das Geschirr hingegen fallen darunter.</w:t>
      </w:r>
    </w:p>
    <w:p>
      <w:pPr>
        <w:jc w:val="left"/>
      </w:pPr>
      <w:r>
        <w:rPr>
          <w:b/>
        </w:rPr>
        <w:t>Handlungsbedarf:</w:t>
      </w:r>
      <w:r>
        <w:t xml:space="preserve"> Hausratsinventar erstellen; Kunstdrucke sichern (→ Sicherungsantrag beim Nachlassgericht, bevor Marlies sie als Voraus beansprucht).</w:t>
      </w:r>
    </w:p>
    <w:p>
      <w:pPr>
        <w:pStyle w:val="Heading3"/>
      </w:pPr>
      <w:r>
        <w:rPr>
          <w:rFonts w:ascii="Times New Roman" w:hAnsi="Times New Roman"/>
        </w:rPr>
        <w:t>3.3 Erblasser-Stick in Marlies' Verwahrung</w:t>
      </w:r>
    </w:p>
    <w:p>
      <w:pPr>
        <w:jc w:val="left"/>
      </w:pPr>
      <w:r>
        <w:t>Dass Marlies den Stick sicher verwahrt und ihn nicht eigenmächtig benutzt, ist positiv. Die Position Streckers (Verweigerung Herausgabe an Einzelpartei) ist rechtlich vertretbar: Ein Miterbe kann Gesamthandsbesitz zwar halten, muss ihn aber der Gemeinschaft zugänglich machen.</w:t>
      </w:r>
    </w:p>
    <w:p>
      <w:pPr>
        <w:jc w:val="left"/>
      </w:pPr>
      <w:r>
        <w:rPr>
          <w:b/>
        </w:rPr>
        <w:t>Empfehlung an Strecker:</w:t>
      </w:r>
      <w:r>
        <w:t xml:space="preserve"> Die Kanzlei wird vorschlagen, den Stick in einem Schließfach eines neutralen Treuhänders zu hinterlegen, bis ein Beschluss der Erbengemeinschaft oder eine gerichtliche Entscheidung vorliegt. Dieser Vorschlag ist sachgerecht.</w:t>
      </w:r>
    </w:p>
    <w:p>
      <w:pPr>
        <w:pStyle w:val="Heading3"/>
      </w:pPr>
      <w:r>
        <w:rPr>
          <w:rFonts w:ascii="Times New Roman" w:hAnsi="Times New Roman"/>
        </w:rPr>
        <w:t>3.4 Constantin setzt Marlies unter Druck</w:t>
      </w:r>
    </w:p>
    <w:p>
      <w:pPr>
        <w:jc w:val="left"/>
      </w:pPr>
      <w:r>
        <w:t xml:space="preserve">Das Telefonat Constantins mit Marlies am 17.05.2025 ist ein neuer Sachverhalt. Constantin versucht offensichtlich, Marlies zur Kooperation zu bewegen. Das ist kein strafrechtlich relevantes Verhalten, aber es zeigt, dass Constantin aktiv handelt. </w:t>
      </w:r>
      <w:r>
        <w:rPr>
          <w:b/>
        </w:rPr>
        <w:t>Die einstweilige Verfügung sollte jetzt beantragt werden</w:t>
      </w:r>
      <w:r>
        <w:t>, auch wenn der Stick bei Marlies sicher ist.</w:t>
      </w:r>
    </w:p>
    <w:p/>
    <w:p>
      <w:pPr>
        <w:pStyle w:val="Heading2"/>
      </w:pPr>
      <w:r>
        <w:rPr>
          <w:rFonts w:ascii="Times New Roman" w:hAnsi="Times New Roman"/>
        </w:rPr>
        <w:t>4. Antwortschreiben Kanzlei — Entwurf (26.05.2025)</w:t>
      </w:r>
    </w:p>
    <w:p>
      <w:pPr>
        <w:jc w:val="left"/>
      </w:pPr>
      <w:r>
        <w:t>Kanzlei Klotzkette an Strecker:</w:t>
      </w:r>
    </w:p>
    <w:p>
      <w:pPr>
        <w:pStyle w:val="ListBullet"/>
      </w:pPr>
      <w:r>
        <w:t>Bestätigung Vollmacht Henrike, Ablehnung Hausratsherausgabe ohne Inventar.</w:t>
      </w:r>
    </w:p>
    <w:p>
      <w:pPr>
        <w:pStyle w:val="ListBullet"/>
      </w:pPr>
      <w:r>
        <w:t>Angebot: neutraler Treuhänder für Stick.</w:t>
      </w:r>
    </w:p>
    <w:p>
      <w:pPr>
        <w:pStyle w:val="ListBullet"/>
      </w:pPr>
      <w:r>
        <w:t>Hinweis: Constantin-Kontaktaufnahme mit Marlies darf nicht über Kanzlei laufen; alle Kommunikation über Anwälte.</w:t>
      </w:r>
    </w:p>
    <w:p>
      <w:pPr>
        <w:pStyle w:val="ListBullet"/>
      </w:pPr>
      <w:r>
        <w:t>Fristsetzung bis 05.06.2025 für Einigung über Treuhänder-Lösung, sonst Antrag § 1960 BGB.</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