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 Gesamtfall — Erbstreit Edelmann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22.05.2025</w:t>
      </w:r>
    </w:p>
    <w:p/>
    <w:p>
      <w:pPr>
        <w:pStyle w:val="Heading2"/>
      </w:pPr>
      <w:r>
        <w:rPr>
          <w:rFonts w:ascii="Times New Roman" w:hAnsi="Times New Roman"/>
        </w:rPr>
        <w:t>Vor dem Erbfall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Rechtlich 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03.02.1947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Reinhard Edelmann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1970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Ehe Edelmann/Schneewind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1973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Henrike Edelmann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1976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Constantin Edelmann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1984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Marie-Theres (außerehelich); Vaterschaft 1985 anerkannt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Pflichtteilsberechtigung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1994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 Edelmann/Schneewind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Güterrechtliche Folgen abgewickelt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2004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 Grundstück Sonnenbergstraße 38a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Nachlasswert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12.10.2014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Heirat Edelmann/Praun; Zugewinngemeinschaft beginnt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1371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Emeritierung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ETW Konstanz an Henrike (320.000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2325 BGB; Frist bis 15.01.2028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Einrichtung 3-of-5-Multisig-Wallet (Constantin)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Schlüsselverteilung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BTC-Einzahlung in Wallet (12,5 BTC, ca. 53.500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 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09.11.2019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Eigenhändiges Testament errichtet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Erbfolge, Wohnrecht, TV Trotz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08.10.2020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Constantin: 120.000 EUR (Tranche 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2325 BGB; Frist bis 08.10.2030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07.02.2021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−0,80 BTC an Constantin (ca. 30.880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 § 2325?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15.11.2020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Pflichtteilsverzicht Marie-Theres gegen 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2346 BGB; Anfechtungsgefahr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14.06.2022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Constantin: 140.000 EUR (Tranche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2325 BGB; Frist bis 14.06.2032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12.12.2022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−1,20 BTC an Constantin (ca. 19.440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23.12.2022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−8,00 ETH an Constantin (ca. 9.440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14.06.2023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Notarvermerk Welz: Edelmann äußert Willen zur Testamentsänderung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Auslegungshilfe, keine Verfügung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Tod RA Dr. Friedrich Trotz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TV-Amt erlischt (§ 2225 BGB)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22.12.2023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Constantin: 120.000 EUR (Tranche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2325 BGB; Frist bis 22.12.2033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−2,00 ETH an Constantin (ca. 6.240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On-Chain-Einzahlung +35,50 ETH in Wallet (Herkunft unklar)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Herbst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Gesundheit Edelmann verschlechtert sich; Pflegekraft ab November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Testierflähigkeit?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Erbfall und unmittelbare Nachfolge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Rechtlich 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12.03.2025, 05:47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Tod Prof. Dr. Edelmann; Herztod, Sana-Klinik Stuttgart-Degerloch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Erbfall, Ausschlagungsfristen beginnen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Tresor geöffnet (durch wen? Unklar); Erblasser-Stick gefunden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informiert Henrike telefonisch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Fristbeginn Ausschlagung Henrike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Marlies → Henrike (Haus, Erbschaft)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emails/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Beerdigung Waldfriedhof Stuttgart-Degerloch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reicht Testament beim Nachlassgericht Stuttgart 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nach § 2259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Testamentseröffnung AG Stuttgart, Az. 24 VI 213/25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Förmliche Kenntnis aller Erben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Constantin erklärt Henrike telefonisch: er habe zwei Wallet-Schlüssel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Mandatserteilung Henrike an Kanzlei Klotzkette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Akteneröffnung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Sicherungsschreiben Kanzlei an Constantin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Ausschlagungsfrist Constantin</w:t>
            </w:r>
            <w:r>
              <w:rPr>
                <w:rFonts w:ascii="Times New Roman" w:hAnsi="Times New Roman"/>
                <w:sz w:val="20"/>
              </w:rPr>
              <w:t xml:space="preserve"> (6 Wochen ab 14.03.) — abgelaufen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Fristversäumnis-Problem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Constantin erklärt Ausschlagung beim AG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12; Wirksamkeit fraglich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stellt Anfrage bei Notar Welz (begl. Abschrift, weitere Urkunden?)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stellt Anfrage RAK BW wegen Trotz-Kanzleinachlass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Bender &amp; Mörser: Kurzgutachten Grundstück (1.850.000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Strecker meldet sich für Marlies (Telefonat)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Constantin an Kanzlei: provokatives Schreiben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emails/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Telefonkonferenz Kanzlei/Henrike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Ausschlagungsfrist Henrike</w:t>
            </w:r>
            <w:r>
              <w:rPr>
                <w:rFonts w:ascii="Times New Roman" w:hAnsi="Times New Roman"/>
                <w:sz w:val="20"/>
              </w:rPr>
              <w:t xml:space="preserve"> abgelaufen — keine Ausschlagung erklärt (Erbschaft angenommen)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Antwortfrist RAK BW</w:t>
            </w:r>
            <w:r>
              <w:rPr>
                <w:rFonts w:ascii="Times New Roman" w:hAnsi="Times New Roman"/>
                <w:sz w:val="20"/>
              </w:rPr>
              <w:t xml:space="preserve"> (Kanzleinachlass Trotz)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Constantin setzt Marlies telefonisch unter Druck (Stick-Herausgabe)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 Strecker an Kanzlei (Wohnrecht, Stick, § 1932)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emails/ und Akte 18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Offene Fristen und kritische Termine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/ 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 bei Versäumnis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RAK BW (Trotz-Kanzleinachlass)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#4 bleibt unbekannt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Antwortfrist Strecker auf Treuhänder-Angebot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beantragt § 1960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Antwortfrist Notar Welz auf Anfrage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Auslegungsfrage bleibt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Angestrebte Einreichung Erbscheinsantrag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 bleibt gesperrt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12.08.2025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Dreimonatseinrede Henrike (§ 2014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 dürfen voll vollstrecken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12.06.2025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Finanzamt auf Stundungsantrag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ESt-Nachzahlung ggf. 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Mrz.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Anfechtungsfrist Marie-Theres (§ 123, 124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 Pflichtteilsverzicht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10-Jahres-Frist Schenkung Henrike (ETW)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Ergänzung mehr aus H-1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08.10.2030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10-Jahres-Frist Schenkung C-1 (120 TEUR)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Verjährung Pflichtteilsansprüche (§ 2332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