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Beweismittelliste und Sachverständige — Erbstreit Edelmann</w:t>
      </w:r>
    </w:p>
    <w:p>
      <w:pPr>
        <w:jc w:val="left"/>
      </w:pPr>
      <w:r>
        <w:rPr>
          <w:b/>
        </w:rPr>
        <w:t>Az.:</w:t>
      </w:r>
      <w:r>
        <w:t xml:space="preserve"> KlKette 025/0422-ERB-EDE</w:t>
      </w:r>
    </w:p>
    <w:p>
      <w:pPr>
        <w:jc w:val="left"/>
      </w:pPr>
      <w:r>
        <w:rPr>
          <w:b/>
        </w:rPr>
        <w:t>Stand:</w:t>
      </w:r>
      <w:r>
        <w:t xml:space="preserve"> 20.05.2025</w:t>
      </w:r>
    </w:p>
    <w:p>
      <w:pPr>
        <w:jc w:val="left"/>
      </w:pPr>
      <w:r>
        <w:rPr>
          <w:b/>
        </w:rPr>
        <w:t>Bearbeitung:</w:t>
      </w:r>
      <w:r>
        <w:t xml:space="preserve"> RAin Steinkamp / Ref. Fust</w:t>
      </w:r>
    </w:p>
    <w:p/>
    <w:p>
      <w:pPr>
        <w:pStyle w:val="Heading2"/>
      </w:pPr>
      <w:r>
        <w:rPr>
          <w:rFonts w:ascii="Times New Roman" w:hAnsi="Times New Roman"/>
        </w:rPr>
        <w:t>1. Urkundliche Beweismittel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Bez.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Beweisziel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Testament 09.11.2019 (begl. Abschrift)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Erbeinsetzung, Vorausvermächtnis, Krypto-Klausel, TV Trotz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Erbrecht, Wohnrecht, Nachlasszugehörigkeit Krypto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Testamentseröffnungsprotokoll 28.03.2025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Förmliche Kenntnis aller Erben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Fristbeginn Ausschlagung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Notarvermerk Welz 14.06.2023 (begl. Abschrift)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Willen zur Testamentsänderung, Schenkungsanerkenntnis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Auslegung Testament, Bewusstsein Begünstigung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C-1 (08.10.2020, 120.000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C-2 (14.06.2022, 140.000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Überweisungsbeleg C-3 (22.12.2023, 120.000 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Constantin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2325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Blockchain-Transaktionsnachweis K-1 (07.02.2021, −0,80 BTC)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Krypto-Auszahlung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2325 BGB streitig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(Blockchain-Explorer)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Blockchain-Transaktionsnachweis K-2 bis K-4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Weitere Krypto-Auszahlungen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2325 BGB streitig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Notarielle Urkunde ETW Konstanz (UR-Nr. 44/2018)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Schenkung Henrike 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Anrechnungsklausel, § 2325 Abschmelzung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Pflichtteilsverzichtsvertrag Marie-Theres (UR-Nr. 412/2020)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Verzicht § 2346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Bestand Verzicht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Ausschlagungsprotokoll Constantin (29.04.2025)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Ausschlagung, Fristberechnung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1944, Wirksamkeit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Grundbuchauszug Degerloch Blatt 1144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Eigentümer, Lasten, Grundbuchstand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Grundstückszuordnung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Depotauszug Bankhaus Lampe-Hauck 31.12.2024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Wertpapierdepot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Nachlasswert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Sterbeurkunde Prof. Dr. Edelmann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Tod, 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Erbfall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Heiratsurkunde Edelmann/Edelmann-Praun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Ehestand, Güterstand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1371 BGB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Lebensversicherungspolice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Bezugsberechtigung Marlies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Nachlasszugehörigkeit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E-Mail Constantin 05.05.2025 (Provokation)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Zugriffsabsicht Wallet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Dringlichkeit einstweilige Verfügung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Schreiben Strecker 22.05.2025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Rechtspositionen Marlies, Stick-Verwahrung, Constantin-Kontakt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Gesamtsachverhalt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 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Vaterschaftsanerkennungsurkunde 1985 (Marie-Theres)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Abstammung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Pflichtteilsberechtigung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vorhanden (Kopie)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Sachverständige</w:t>
      </w:r>
    </w:p>
    <w:p>
      <w:pPr>
        <w:pStyle w:val="Heading3"/>
      </w:pPr>
      <w:r>
        <w:rPr>
          <w:rFonts w:ascii="Times New Roman" w:hAnsi="Times New Roman"/>
        </w:rPr>
        <w:t>2.1 Immobilienbewertung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Dipl.-Ing. Ralf Bender (Bender &amp; Mörser, Stuttgart)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Sachverständiger Immobilienbewertung (Henrike, Klageseite)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Kurzgutachten liegt vor (1.850.000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SV Klever (Stuttgart-Nord)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Gegengutachter (Marlies-Seite, Strecker)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02.05.2025 (angekündigt)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Noch nicht erhalten</w:t>
            </w:r>
          </w:p>
        </w:tc>
      </w:tr>
    </w:tbl>
    <w:p>
      <w:pPr>
        <w:jc w:val="left"/>
      </w:pPr>
      <w:r>
        <w:rPr>
          <w:b/>
        </w:rPr>
        <w:t>Streitpunkt:</w:t>
      </w:r>
      <w:r>
        <w:t xml:space="preserve"> Wert des Wohnrechts (Barwert 350.000–564.000 EUR je nach Methode); Hauptgutachten zu beauftragen wenn Parteien sich nicht einigen.</w:t>
      </w:r>
    </w:p>
    <w:p>
      <w:pPr>
        <w:pStyle w:val="Heading3"/>
      </w:pPr>
      <w:r>
        <w:rPr>
          <w:rFonts w:ascii="Times New Roman" w:hAnsi="Times New Roman"/>
        </w:rPr>
        <w:t>2.2 Kryptowährungen / Blockchain-Forensik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Petra Wandke (IT-Sachverständige, Stuttgart)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Blockchain-Forensik, Schlüssel-Clustering-Analyse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28.04.2025 (beratend)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Vorläufige Analyse liegt vor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[Noch nicht bestimmt]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Ggf. gerichtlicher SV für Krypto-Bewertung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Gericht, auf 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rPr>
          <w:b/>
        </w:rPr>
        <w:t>Schlüsselfragen für SV Wandke:</w:t>
      </w:r>
    </w:p>
    <w:p>
      <w:pPr>
        <w:pStyle w:val="ListBullet"/>
      </w:pPr>
      <w:r>
        <w:t>Welche Schlüssel haben die Transaktionen K-1 bis K-4 signiert?</w:t>
      </w:r>
    </w:p>
    <w:p>
      <w:pPr>
        <w:pStyle w:val="ListBullet"/>
      </w:pPr>
      <w:r>
        <w:t>Sind die Empfängeradressen (bc1q7v…9r3, bc1q3n…4kp, 0x9aF7…2bC1) Constantin zuzuordnen?</w:t>
      </w:r>
    </w:p>
    <w:p>
      <w:pPr>
        <w:pStyle w:val="ListBullet"/>
      </w:pPr>
      <w:r>
        <w:t>Welcher Gnosis-Safe-Owner hat welche Aktionen durchgeführt?</w:t>
      </w:r>
    </w:p>
    <w:p>
      <w:pPr>
        <w:pStyle w:val="ListBullet"/>
      </w:pPr>
      <w:r>
        <w:t>Herkunft der Einzahlung 04.07.2024 (35,50 ETH)?</w:t>
      </w:r>
    </w:p>
    <w:p>
      <w:pPr>
        <w:pStyle w:val="Heading3"/>
      </w:pPr>
      <w:r>
        <w:rPr>
          <w:rFonts w:ascii="Times New Roman" w:hAnsi="Times New Roman"/>
        </w:rPr>
        <w:t>2.3 Wertpapierdepot</w:t>
      </w:r>
    </w:p>
    <w:p>
      <w:pPr>
        <w:jc w:val="left"/>
      </w:pPr>
      <w:r>
        <w:t>Kein gesonderter SV nötig; Stichtagswert wird durch die Bank selbst bestätigt sobald Erbschein vorliegt.</w:t>
      </w:r>
    </w:p>
    <w:p>
      <w:pPr>
        <w:pStyle w:val="Heading3"/>
      </w:pPr>
      <w:r>
        <w:rPr>
          <w:rFonts w:ascii="Times New Roman" w:hAnsi="Times New Roman"/>
        </w:rPr>
        <w:t>2.4 Ggf. Handschriftgutachten (Testament)</w:t>
      </w:r>
    </w:p>
    <w:p>
      <w:pPr>
        <w:jc w:val="left"/>
      </w:pPr>
      <w:r>
        <w:t>Wenn die Echtheit des Testaments bestritten wird (derzeit nicht der Fall): SV für forensische Handschriftenanalyse (z. B. Bundeskriminalamt-zertifizierter Schriftsachverständiger). Kein unmittelbarer Bedarf.</w:t>
      </w:r>
    </w:p>
    <w:p/>
    <w:p>
      <w:pPr>
        <w:pStyle w:val="Heading2"/>
      </w:pPr>
      <w:r>
        <w:rPr>
          <w:rFonts w:ascii="Times New Roman" w:hAnsi="Times New Roman"/>
        </w:rPr>
        <w:t>3. Zeugen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Verhältnis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Marlies Edelmann-Praun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Miterbin, Ehefrau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Tresor-Öffnung nach Tod; Erblasser-Stick; möglicher Schlüssel #3; Verhältnis Constantin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Als Partei zu befragen (§ 445 ZPO) oder Zeugin in Drittverfahren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Constantin Edelmann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Ausgeschlagener Erbe / Beklagter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Schenkungsvereinbarung, Walletstruktur, Schlüsselverteilung, Aussagen des Vaters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Parteibefragung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Marie-Theres Edelmann-Berlepsch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Miterbin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Kenntnisstand Krypto 2020; Inhalt Verzichtsgespräch mit Vater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Ref. Maximilian-Klara Fust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Klotzkette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Inhalt Erstgespräch 22.04.2025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bei Bestreitung; Protokoll primäres Beweismittel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Pflegerin [Name noch zu erheben]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Pflegekraft Nov. 2024–Mrz.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Geistige Verfassung Edelmann in letzten Monaten; Verhältnis zu Familienmitgliedern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Identität noch nicht bekannt; über Caritas-Pflegedienst zu ermitteln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 Bankhaus Lampe-Hauck [Name]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Betreuer Depot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Depottätigkeit, Kontobewegungen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 Bank zu benennen nach Erbschein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Angestellte Volksbank Esslingen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Schließfachzugang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Schließfachvertrag, Zugangsprotokolle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Ggf. Zeuge in Schließfachstreit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Benedikt Welz (Notar)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Inhalt Gespräch 14.06.2023; weitere Beurkundungen für Edelmann?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Zeugenladung nötig, wenn Abschrift nicht ausreicht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Beweisthemen mit Nachweisproblemen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Problem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Lösungsansatz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#3 (Marlies)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Marlies bestreitet; keine schriftliche Bestätigung der Übergabe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Zeugen? Kommunikation Erblasser/Marlies zu Krypto? Technische Analyse Wallet-Setup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 #4 (Trotz)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Trotz tot; Kanzleinachlass unbekannt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RAK BW Anfrage läuft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Herkunft ETH-Einzahlung 04.07.2024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On-Chain anonym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SV Wandke, ggf. Austausch-KYC-Anfragen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Konstantins Wissen Krypto-Zugang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 behauptet Schenkung; kein schriftlicher 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Zeugen, Kommunikation (Signal-Chats?)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Geistige Verfassung Edelmann Nov. 2024–Mrz.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Ggf. Testierfähigkeit bei Testament 2019 kein Thema, aber Schenkungsfähigkeit 2023/2024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Pflegekraft, Arztzeugnis (mit Schweigepflichtentbindung)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