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Steuerliche Dimension und Erbschaftsteuer — Analyse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20.05.2025</w:t>
      </w:r>
    </w:p>
    <w:p>
      <w:pPr>
        <w:jc w:val="left"/>
      </w:pPr>
      <w:r>
        <w:rPr>
          <w:b/>
        </w:rPr>
        <w:t>Bearbeitung:</w:t>
      </w:r>
      <w:r>
        <w:t xml:space="preserve"> RAin Steinkamp (erbschaftsteuerrechtlich; die Kanzlei ist keine Steuerrechtskanzlei; eine Abstimmung mit Steuerberater empfohlen)</w:t>
      </w:r>
    </w:p>
    <w:p/>
    <w:p>
      <w:pPr>
        <w:pStyle w:val="Heading2"/>
      </w:pPr>
      <w:r>
        <w:rPr>
          <w:rFonts w:ascii="Times New Roman" w:hAnsi="Times New Roman"/>
        </w:rPr>
        <w:t>1. Anzeigepflicht nach § 30 ErbStG</w:t>
      </w:r>
    </w:p>
    <w:p>
      <w:pPr>
        <w:jc w:val="left"/>
      </w:pPr>
      <w:r>
        <w:t xml:space="preserve">Jeder Erbe ist verpflichtet, das Finanzamt von dem Erwerb zu unterrichten (§ 30 Abs. 1 ErbStG). Frist: </w:t>
      </w:r>
      <w:r>
        <w:rPr>
          <w:b/>
        </w:rPr>
        <w:t>drei Monate ab Kenntnis des Erwerbs.</w:t>
      </w:r>
      <w:r>
        <w:t xml:space="preserve"> Kenntnis: spätestens 28.03.2025 (Testamentseröffnung). Fristablauf: </w:t>
      </w:r>
      <w:r>
        <w:rPr>
          <w:b/>
        </w:rPr>
        <w:t>28.06.2025</w:t>
      </w:r>
      <w:r>
        <w:t>.</w:t>
      </w:r>
    </w:p>
    <w:p>
      <w:pPr>
        <w:jc w:val="left"/>
      </w:pPr>
      <w:r>
        <w:t xml:space="preserve">Die Anzeige ist beim zuständigen Erbschaftsteuerfinanzamt zu erstatten. Zuständig ist das Finanzamt am letzten Wohnsitz des Erblassers: </w:t>
      </w:r>
      <w:r>
        <w:rPr>
          <w:b/>
        </w:rPr>
        <w:t>Finanzamt Stuttgart-Mitte</w:t>
      </w:r>
      <w:r>
        <w:t xml:space="preserve"> (für Erbschaftsteuer zuständig, § 35 ErbStG).</w:t>
      </w:r>
    </w:p>
    <w:p>
      <w:pPr>
        <w:jc w:val="left"/>
      </w:pPr>
      <w:r>
        <w:rPr>
          <w:b/>
        </w:rPr>
        <w:t>Status:</w:t>
      </w:r>
      <w:r>
        <w:t xml:space="preserve"> Anzeige noch nicht erfolgt. Alle drei Erben (Marlies, Henrike, Marie-Theres) sind zur Anzeige verpflichtet. Kanzlei bereitet Anzeige-Entwurf für Henrike vor; gleichzeitig Hinweis an Marlies und Marie-Theres (über deren Anwälte), dass Frist läuft.</w:t>
      </w:r>
    </w:p>
    <w:p>
      <w:pPr>
        <w:jc w:val="left"/>
      </w:pPr>
      <w:r>
        <w:rPr>
          <w:b/>
        </w:rPr>
        <w:t>Besonderheit:</w:t>
      </w:r>
      <w:r>
        <w:t xml:space="preserve"> Die Anzeigepflicht gilt unabhängig davon, ob tatsächlich Erbschaftsteuer anfällt. Die Anzeige kann durch Vorlage des Erbscheins ersetzt werden; sobald dieser vorliegt, übermittelt das Nachlassgericht von Amts wegen eine Mitteilung an das Finanzamt (§ 34 ErbStG). Da der Erbschein noch nicht vorliegt, ist eine gesonderte Anzeige nötig.</w:t>
      </w:r>
    </w:p>
    <w:p/>
    <w:p>
      <w:pPr>
        <w:pStyle w:val="Heading2"/>
      </w:pPr>
      <w:r>
        <w:rPr>
          <w:rFonts w:ascii="Times New Roman" w:hAnsi="Times New Roman"/>
        </w:rPr>
        <w:t>2. Steuerklassen und Freibeträge</w:t>
      </w:r>
    </w:p>
    <w:p>
      <w:pPr>
        <w:pStyle w:val="Heading3"/>
      </w:pPr>
      <w:r>
        <w:rPr>
          <w:rFonts w:ascii="Times New Roman" w:hAnsi="Times New Roman"/>
        </w:rPr>
        <w:t>2.1 Marlies Edelmann-Praun (Ehefrau)</w:t>
      </w:r>
    </w:p>
    <w:p>
      <w:pPr>
        <w:pStyle w:val="ListBullet"/>
      </w:pPr>
      <w:r>
        <w:t>Steuerklasse I (§ 15 Abs. 1 Nr. 1 ErbStG)</w:t>
      </w:r>
    </w:p>
    <w:p>
      <w:pPr>
        <w:pStyle w:val="ListBullet"/>
      </w:pPr>
      <w:r>
        <w:t xml:space="preserve">Persönlicher Freibetrag: </w:t>
      </w:r>
      <w:r>
        <w:rPr>
          <w:b/>
        </w:rPr>
        <w:t>500.000 EUR</w:t>
      </w:r>
      <w:r>
        <w:t xml:space="preserve"> (§ 16 Abs. 1 Nr. 1 ErbStG)</w:t>
      </w:r>
    </w:p>
    <w:p>
      <w:pPr>
        <w:pStyle w:val="ListBullet"/>
      </w:pPr>
      <w:r>
        <w:t>Versorgungsfreibetrag nach § 17 ErbStG: 256.000 EUR (Ehefrau, Erbfall nach 65. Lebensjahr des Erblassers — relevant, da Edelmann 78 war; Freibetrag auf 256.000 EUR beschränkt nach § 17 Abs. 2 ErbStG je nach Versorgungsbezügen)</w:t>
      </w:r>
    </w:p>
    <w:p>
      <w:pPr>
        <w:pStyle w:val="ListBullet"/>
      </w:pPr>
      <w:r>
        <w:t>Vorausteil § 1932 BGB Hausrat: steuerbefreit nach § 13 Abs. 1 Nr. 1a ErbStG (Hausrat bei Steuerklasse I bis 41.000 EUR)</w:t>
      </w:r>
    </w:p>
    <w:p>
      <w:pPr>
        <w:jc w:val="left"/>
      </w:pPr>
      <w:r>
        <w:rPr>
          <w:b/>
        </w:rPr>
        <w:t>Erworbener Wert (vorläufig):</w:t>
      </w:r>
    </w:p>
    <w:p>
      <w:pPr>
        <w:pStyle w:val="ListBullet"/>
      </w:pPr>
      <w:r>
        <w:t>Erbteil 1/3 × 4.082.000 EUR = 1.360.667 EUR</w:t>
      </w:r>
    </w:p>
    <w:p>
      <w:pPr>
        <w:pStyle w:val="ListBullet"/>
      </w:pPr>
      <w:r>
        <w:t>+ Vorausvermächtnis Wohnrecht: ca. 350.000–564.000 EUR (Barwert; wird als Sachleistung bewertet)</w:t>
      </w:r>
    </w:p>
    <w:p>
      <w:pPr>
        <w:pStyle w:val="ListBullet"/>
      </w:pPr>
      <w:r>
        <w:t>− Schulden anteilig: −26.000 EUR</w:t>
      </w:r>
    </w:p>
    <w:p>
      <w:pPr>
        <w:pStyle w:val="ListBullet"/>
      </w:pPr>
      <w:r>
        <w:rPr>
          <w:b/>
        </w:rPr>
        <w:t>Bruttowert</w:t>
      </w:r>
      <w:r>
        <w:t>: ca. 1.695.000–1.900.000 EUR</w:t>
      </w:r>
    </w:p>
    <w:p>
      <w:pPr>
        <w:pStyle w:val="ListBullet"/>
      </w:pPr>
      <w:r>
        <w:t>− Freibeträge (500 TEUR + 256 TEUR) = −756.000 EUR</w:t>
      </w:r>
    </w:p>
    <w:p>
      <w:pPr>
        <w:pStyle w:val="ListBullet"/>
      </w:pPr>
      <w:r>
        <w:rPr>
          <w:b/>
        </w:rPr>
        <w:t>Steuerpflichtiger Erwerb</w:t>
      </w:r>
      <w:r>
        <w:t xml:space="preserve">: ca. </w:t>
      </w:r>
      <w:r>
        <w:rPr>
          <w:b/>
        </w:rPr>
        <w:t>939.000–1.144.000 EUR</w:t>
      </w:r>
    </w:p>
    <w:p>
      <w:pPr>
        <w:pStyle w:val="ListBullet"/>
      </w:pPr>
      <w:r>
        <w:t>Steuersatz 15 % (§ 19 ErbStG bei Erwerb 900.001–6.000.000 EUR, Steuerklasse I)</w:t>
      </w:r>
    </w:p>
    <w:p>
      <w:pPr>
        <w:pStyle w:val="ListBullet"/>
      </w:pPr>
      <w:r>
        <w:rPr>
          <w:b/>
        </w:rPr>
        <w:t>Vorläufige ESt-Last Marlies:</w:t>
      </w:r>
      <w:r>
        <w:t xml:space="preserve"> ca. </w:t>
      </w:r>
      <w:r>
        <w:rPr>
          <w:b/>
        </w:rPr>
        <w:t>140.850–171.600 EUR</w:t>
      </w:r>
    </w:p>
    <w:p>
      <w:pPr>
        <w:pStyle w:val="Heading3"/>
      </w:pPr>
      <w:r>
        <w:rPr>
          <w:rFonts w:ascii="Times New Roman" w:hAnsi="Times New Roman"/>
        </w:rPr>
        <w:t>2.2 Dr. Henrike Edelmann</w:t>
      </w:r>
    </w:p>
    <w:p>
      <w:pPr>
        <w:pStyle w:val="ListBullet"/>
      </w:pPr>
      <w:r>
        <w:t>Steuerklasse I (Kind)</w:t>
      </w:r>
    </w:p>
    <w:p>
      <w:pPr>
        <w:pStyle w:val="ListBullet"/>
      </w:pPr>
      <w:r>
        <w:t xml:space="preserve">Persönlicher Freibetrag: </w:t>
      </w:r>
      <w:r>
        <w:rPr>
          <w:b/>
        </w:rPr>
        <w:t>400.000 EUR</w:t>
      </w:r>
      <w:r>
        <w:t xml:space="preserve"> (§ 16 Abs. 1 Nr. 2 ErbStG)</w:t>
      </w:r>
    </w:p>
    <w:p>
      <w:pPr>
        <w:pStyle w:val="ListBullet"/>
      </w:pPr>
      <w:r>
        <w:t>Ggf. Versorgungsfreibetrag § 17 Abs. 3 ErbStG (Kind unter 27 J.: nein; kein Versorgungsfreibetrag für erwachsenes Kind)</w:t>
      </w:r>
    </w:p>
    <w:p>
      <w:pPr>
        <w:jc w:val="left"/>
      </w:pPr>
      <w:r>
        <w:rPr>
          <w:b/>
        </w:rPr>
        <w:t>Erworbener Wert:</w:t>
      </w:r>
    </w:p>
    <w:p>
      <w:pPr>
        <w:pStyle w:val="ListBullet"/>
      </w:pPr>
      <w:r>
        <w:t>Erbteil 1/3 × 4.082.000 EUR = 1.360.667 EUR</w:t>
      </w:r>
    </w:p>
    <w:p>
      <w:pPr>
        <w:pStyle w:val="ListBullet"/>
      </w:pPr>
      <w:r>
        <w:t xml:space="preserve">− Schenkung 2018 ETW (320.000 EUR) — frühere Schenkung wird auf ErbSt-Freibetrag angerechnet (§ 14 ErbStG: Zusammenrechnung von Vorerwerben innerhalb 10 Jahre); Freibetrag 2018: 400.000 EUR − 320.000 EUR = </w:t>
      </w:r>
      <w:r>
        <w:rPr>
          <w:b/>
        </w:rPr>
        <w:t>80.000 EUR verbleibend</w:t>
      </w:r>
      <w:r>
        <w:t>.</w:t>
      </w:r>
    </w:p>
    <w:p>
      <w:pPr>
        <w:pStyle w:val="ListBullet"/>
      </w:pPr>
      <w:r>
        <w:t>− Schulden anteilig: −26.000 EUR</w:t>
      </w:r>
    </w:p>
    <w:p>
      <w:pPr>
        <w:pStyle w:val="ListBullet"/>
      </w:pPr>
      <w:r>
        <w:rPr>
          <w:b/>
        </w:rPr>
        <w:t>Bruttowert</w:t>
      </w:r>
      <w:r>
        <w:t>: ca. 1.334.667 EUR</w:t>
      </w:r>
    </w:p>
    <w:p>
      <w:pPr>
        <w:pStyle w:val="ListBullet"/>
      </w:pPr>
      <w:r>
        <w:t>− Freibetrag verbleibend: −80.000 EUR</w:t>
      </w:r>
    </w:p>
    <w:p>
      <w:pPr>
        <w:pStyle w:val="ListBullet"/>
      </w:pPr>
      <w:r>
        <w:rPr>
          <w:b/>
        </w:rPr>
        <w:t>Steuerpflichtiger Erwerb</w:t>
      </w:r>
      <w:r>
        <w:t xml:space="preserve">: ca. </w:t>
      </w:r>
      <w:r>
        <w:rPr>
          <w:b/>
        </w:rPr>
        <w:t>1.254.667 EUR</w:t>
      </w:r>
    </w:p>
    <w:p>
      <w:pPr>
        <w:pStyle w:val="ListBullet"/>
      </w:pPr>
      <w:r>
        <w:t>Steuersatz 15 % (Steuerklasse I)</w:t>
      </w:r>
    </w:p>
    <w:p>
      <w:pPr>
        <w:pStyle w:val="ListBullet"/>
      </w:pPr>
      <w:r>
        <w:rPr>
          <w:b/>
        </w:rPr>
        <w:t>Vorläufige ESt-Last Henrike:</w:t>
      </w:r>
      <w:r>
        <w:t xml:space="preserve"> ca. </w:t>
      </w:r>
      <w:r>
        <w:rPr>
          <w:b/>
        </w:rPr>
        <w:t>188.200 EUR</w:t>
      </w:r>
    </w:p>
    <w:p>
      <w:pPr>
        <w:jc w:val="left"/>
      </w:pPr>
      <w:r>
        <w:rPr>
          <w:b/>
        </w:rPr>
        <w:t>Wichtig:</w:t>
      </w:r>
      <w:r>
        <w:t xml:space="preserve"> Die Anrechnung der 2018er-Schenkung auf den Freibetrag nach § 14 ErbStG bedeutet, dass Henrike faktisch nur noch 80.000 EUR Freibetrag hat. Das erhöht ihre Steuerlast erheblich.</w:t>
      </w:r>
    </w:p>
    <w:p>
      <w:pPr>
        <w:pStyle w:val="Heading3"/>
      </w:pPr>
      <w:r>
        <w:rPr>
          <w:rFonts w:ascii="Times New Roman" w:hAnsi="Times New Roman"/>
        </w:rPr>
        <w:t>2.3 Marie-Theres Edelmann-Berlepsch</w:t>
      </w:r>
    </w:p>
    <w:p>
      <w:pPr>
        <w:pStyle w:val="ListBullet"/>
      </w:pPr>
      <w:r>
        <w:t>Steuerklasse I (Kind, unehelich anerkannt)</w:t>
      </w:r>
    </w:p>
    <w:p>
      <w:pPr>
        <w:pStyle w:val="ListBullet"/>
      </w:pPr>
      <w:r>
        <w:t xml:space="preserve">Persönlicher Freibetrag: </w:t>
      </w:r>
      <w:r>
        <w:rPr>
          <w:b/>
        </w:rPr>
        <w:t>400.000 EUR</w:t>
      </w:r>
    </w:p>
    <w:p>
      <w:pPr>
        <w:pStyle w:val="ListBullet"/>
      </w:pPr>
      <w:r>
        <w:t>Keine relevanten Vorschenkungen (40.000 EUR Pflichtteilsabfindung 2020 ist kein Schenkungstatbestand i.S.d. ErbStG, da entgeltlich)</w:t>
      </w:r>
    </w:p>
    <w:p>
      <w:pPr>
        <w:jc w:val="left"/>
      </w:pPr>
      <w:r>
        <w:rPr>
          <w:b/>
        </w:rPr>
        <w:t>Erworbener Wert:</w:t>
      </w:r>
    </w:p>
    <w:p>
      <w:pPr>
        <w:pStyle w:val="ListBullet"/>
      </w:pPr>
      <w:r>
        <w:t>Erbteil 1/3 × 4.082.000 EUR = 1.360.667 EUR</w:t>
      </w:r>
    </w:p>
    <w:p>
      <w:pPr>
        <w:pStyle w:val="ListBullet"/>
      </w:pPr>
      <w:r>
        <w:t>− Schulden: −26.000 EUR</w:t>
      </w:r>
    </w:p>
    <w:p>
      <w:pPr>
        <w:pStyle w:val="ListBullet"/>
      </w:pPr>
      <w:r>
        <w:rPr>
          <w:b/>
        </w:rPr>
        <w:t>Bruttowert</w:t>
      </w:r>
      <w:r>
        <w:t>: ca. 1.334.667 EUR</w:t>
      </w:r>
    </w:p>
    <w:p>
      <w:pPr>
        <w:pStyle w:val="ListBullet"/>
      </w:pPr>
      <w:r>
        <w:t>− Freibetrag: −400.000 EUR</w:t>
      </w:r>
    </w:p>
    <w:p>
      <w:pPr>
        <w:pStyle w:val="ListBullet"/>
      </w:pPr>
      <w:r>
        <w:rPr>
          <w:b/>
        </w:rPr>
        <w:t>Steuerpflichtiger Erwerb</w:t>
      </w:r>
      <w:r>
        <w:t xml:space="preserve">: ca. </w:t>
      </w:r>
      <w:r>
        <w:rPr>
          <w:b/>
        </w:rPr>
        <w:t>934.667 EUR</w:t>
      </w:r>
    </w:p>
    <w:p>
      <w:pPr>
        <w:pStyle w:val="ListBullet"/>
      </w:pPr>
      <w:r>
        <w:t>Steuersatz 15 %</w:t>
      </w:r>
    </w:p>
    <w:p>
      <w:pPr>
        <w:pStyle w:val="ListBullet"/>
      </w:pPr>
      <w:r>
        <w:rPr>
          <w:b/>
        </w:rPr>
        <w:t>Vorläufige ESt-Last Marie-Theres:</w:t>
      </w:r>
      <w:r>
        <w:t xml:space="preserve"> ca. </w:t>
      </w:r>
      <w:r>
        <w:rPr>
          <w:b/>
        </w:rPr>
        <w:t>140.200 EUR</w:t>
      </w:r>
    </w:p>
    <w:p/>
    <w:p>
      <w:pPr>
        <w:pStyle w:val="Heading2"/>
      </w:pPr>
      <w:r>
        <w:rPr>
          <w:rFonts w:ascii="Times New Roman" w:hAnsi="Times New Roman"/>
        </w:rPr>
        <w:t>3. Schenkungsteuerliche Altlasten (Constantin)</w:t>
      </w:r>
    </w:p>
    <w:p>
      <w:pPr>
        <w:jc w:val="left"/>
      </w:pPr>
      <w:r>
        <w:t>Constantin hat in den Jahren 2020–2023 Schenkungen von 380.000 EUR erhalten. Schenkungsteuer wäre fällig gewesen; ob er diese angemeldet hat, ist unbekannt. Der Freibetrag für Kinder beträgt 400.000 EUR je 10 Jahre (§ 16 Abs. 1 Nr. 2 ErbStG). Die Gesamtschenkungen 2020–2023 (380 TEUR) liegen gerade noch unter dem Freibetrag; es wäre keine Schenkungsteuer fällig, wenn keine weiteren Vorschenkungen in den vorangegangenen 10 Jahren bestanden.</w:t>
      </w:r>
    </w:p>
    <w:p>
      <w:pPr>
        <w:jc w:val="left"/>
      </w:pPr>
      <w:r>
        <w:rPr>
          <w:b/>
        </w:rPr>
        <w:t>Krypto-Schenkungen:</w:t>
      </w:r>
      <w:r>
        <w:t xml:space="preserve"> Wenn die On-Chain-Auszahlungen als Schenkungen eingeordnet werden (+66 TEUR), überschreiten die Gesamtschenkungen 446.000 EUR den Freibetrag von 400.000 EUR. Dann wären auf die Übersteigung 46.000 EUR × 7 % (Steuerklasse I bis 75.000 EUR) = </w:t>
      </w:r>
      <w:r>
        <w:rPr>
          <w:b/>
        </w:rPr>
        <w:t>3.220 EUR</w:t>
      </w:r>
      <w:r>
        <w:t xml:space="preserve"> Schenkungsteuer entstanden. Ob dies angemeldet wurde, ist zu prüfen.</w:t>
      </w:r>
    </w:p>
    <w:p>
      <w:pPr>
        <w:jc w:val="left"/>
      </w:pPr>
      <w:r>
        <w:rPr>
          <w:b/>
        </w:rPr>
        <w:t>Für den Erbfall relevant:</w:t>
      </w:r>
      <w:r>
        <w:t xml:space="preserve"> Nach § 14 ErbStG werden Vorerwerbe innerhalb 10 Jahre zusammengerechnet. Constantins 380–446 TEUR Schenkungen aus 2020–2023 werden mit dem Erbfall-Erwerb zusammengerechnet — falls er Erbe bleibt. Wenn er ausgeschlagen hat, ist kein Erbfall-Erwerb vorhanden; die Schenkungen werden nur intern geprüft.</w:t>
      </w:r>
    </w:p>
    <w:p/>
    <w:p>
      <w:pPr>
        <w:pStyle w:val="Heading2"/>
      </w:pPr>
      <w:r>
        <w:rPr>
          <w:rFonts w:ascii="Times New Roman" w:hAnsi="Times New Roman"/>
        </w:rPr>
        <w:t>4. Besondere Bewertungsfragen Krypto</w:t>
      </w:r>
    </w:p>
    <w:p>
      <w:pPr>
        <w:pStyle w:val="Heading3"/>
      </w:pPr>
      <w:r>
        <w:rPr>
          <w:rFonts w:ascii="Times New Roman" w:hAnsi="Times New Roman"/>
        </w:rPr>
        <w:t>4.1 Bewertungsstichtag und -maßstab</w:t>
      </w:r>
    </w:p>
    <w:p>
      <w:pPr>
        <w:jc w:val="left"/>
      </w:pPr>
      <w:r>
        <w:t>Kryptowährungen sind nach § 12 Abs. 1 ErbStG iVm § 9 BewG mit dem gemeinen Wert anzusetzen. Maßgebender Zeitpunkt: Todestag (12.03.2025). Für börsennotierte Kryptowährungen ist der Tageskurs auf relevanten Handelsplattformen (z.B. Coinbase, Binance) heranzuziehen.</w:t>
      </w:r>
    </w:p>
    <w:p>
      <w:pPr>
        <w:jc w:val="left"/>
      </w:pPr>
      <w:r>
        <w:rPr>
          <w:b/>
        </w:rPr>
        <w:t>Werte Stichtag 12.03.2025 (gerundet):</w:t>
      </w:r>
    </w:p>
    <w:p>
      <w:pPr>
        <w:pStyle w:val="ListBullet"/>
      </w:pPr>
      <w:r>
        <w:t>BTC: 60.850 EUR/BTC × 14,20 BTC = 864.070 EUR</w:t>
      </w:r>
    </w:p>
    <w:p>
      <w:pPr>
        <w:pStyle w:val="ListBullet"/>
      </w:pPr>
      <w:r>
        <w:t>ETH: 1.620 EUR/ETH × 145,50 ETH = 235.710 EUR</w:t>
      </w:r>
    </w:p>
    <w:p>
      <w:pPr>
        <w:pStyle w:val="ListBullet"/>
      </w:pPr>
      <w:r>
        <w:rPr>
          <w:b/>
        </w:rPr>
        <w:t>Gesamtwert Krypto</w:t>
      </w:r>
      <w:r>
        <w:t>: 1.099.780 EUR</w:t>
      </w:r>
    </w:p>
    <w:p>
      <w:pPr>
        <w:jc w:val="left"/>
      </w:pPr>
      <w:r>
        <w:t>Diese Werte sind für die Erbschaftsteuererklärung zugrunde zu legen, sofern die Krypto-Assets im Nachlass verbleiben.</w:t>
      </w:r>
    </w:p>
    <w:p>
      <w:pPr>
        <w:pStyle w:val="Heading3"/>
      </w:pPr>
      <w:r>
        <w:rPr>
          <w:rFonts w:ascii="Times New Roman" w:hAnsi="Times New Roman"/>
        </w:rPr>
        <w:t>4.2 Kursrisiko zwischen Erbfall und Steuerveranlagung</w:t>
      </w:r>
    </w:p>
    <w:p>
      <w:pPr>
        <w:jc w:val="left"/>
      </w:pPr>
      <w:r>
        <w:t>Die Kursveränderung zwischen Erbfall und späterer Auszahlung/Veräußerung ist erbschaftsteuerlich irrelevant — die Steuer wird auf den Wert zum Todestag festgesetzt. Wenn der Kurs seitdem gestiegen ist, realisieren die Erben einen Buchgewinn; wenn er gefallen ist, zahlen sie zu viel Steuer. Dieser Effekt ist bei Kryptowährungen erheblich.</w:t>
      </w:r>
    </w:p>
    <w:p>
      <w:pPr>
        <w:jc w:val="left"/>
      </w:pPr>
      <w:r>
        <w:rPr>
          <w:b/>
        </w:rPr>
        <w:t>Empfehlung:</w:t>
      </w:r>
      <w:r>
        <w:t xml:space="preserve"> Krypto-Assets möglichst zeitnah nach Erbscheinserteilung veräußern oder verteilen, um das Kursrisiko zu steuern.</w:t>
      </w:r>
    </w:p>
    <w:p/>
    <w:p>
      <w:pPr>
        <w:pStyle w:val="Heading2"/>
      </w:pPr>
      <w:r>
        <w:rPr>
          <w:rFonts w:ascii="Times New Roman" w:hAnsi="Times New Roman"/>
        </w:rPr>
        <w:t>5. Steuer-Liquiditätsproblem</w:t>
      </w:r>
    </w:p>
    <w:p>
      <w:pPr>
        <w:jc w:val="left"/>
      </w:pPr>
      <w:r>
        <w:t>Die geschätzte Gesamtsteuerlast:</w:t>
      </w:r>
    </w:p>
    <w:p>
      <w:pPr>
        <w:pStyle w:val="ListBullet"/>
      </w:pPr>
      <w:r>
        <w:t>Marlies: ca. 156.000 EUR</w:t>
      </w:r>
    </w:p>
    <w:p>
      <w:pPr>
        <w:pStyle w:val="ListBullet"/>
      </w:pPr>
      <w:r>
        <w:t>Henrike: ca. 188.000 EUR</w:t>
      </w:r>
    </w:p>
    <w:p>
      <w:pPr>
        <w:pStyle w:val="ListBullet"/>
      </w:pPr>
      <w:r>
        <w:t>Marie-Theres: ca. 140.000 EUR</w:t>
      </w:r>
    </w:p>
    <w:p>
      <w:pPr>
        <w:pStyle w:val="ListBullet"/>
      </w:pPr>
      <w:r>
        <w:rPr>
          <w:b/>
        </w:rPr>
        <w:t>Gesamt: ca. 484.000 EUR</w:t>
      </w:r>
    </w:p>
    <w:p>
      <w:pPr>
        <w:jc w:val="left"/>
      </w:pPr>
      <w:r>
        <w:t>Diese Beträge sind innerhalb von ca. 3 Monaten nach dem Erbschaftsteuerbescheid fällig (§ 30 Abs. 3 ErbStG Zahlungsfrist). Da der wesentliche Nachlass illiquide ist (Grundstück, gesperrtes Depot, Krypto-Wallet blockiert), droht ein Liquiditätsproblem.</w:t>
      </w:r>
    </w:p>
    <w:p>
      <w:pPr>
        <w:jc w:val="left"/>
      </w:pPr>
      <w:r>
        <w:rPr>
          <w:b/>
        </w:rPr>
        <w:t>Lösungen:</w:t>
      </w:r>
    </w:p>
    <w:p>
      <w:pPr>
        <w:pStyle w:val="ListBullet"/>
      </w:pPr>
      <w:r>
        <w:t>Stundung (§ 28 ErbStG): Das Finanzamt kann bei Grundbesitzerwerb auf Antrag stunden. Henrike sollte Stundungsantrag für ihren Grundstücksanteil stellen.</w:t>
      </w:r>
    </w:p>
    <w:p>
      <w:pPr>
        <w:pStyle w:val="ListBullet"/>
      </w:pPr>
      <w:r>
        <w:t>Raten (§ 28 Abs. 1 ErbStG): Bis zu 10 Jahresraten für Grundbesitz möglich.</w:t>
      </w:r>
    </w:p>
    <w:p>
      <w:pPr>
        <w:pStyle w:val="ListBullet"/>
      </w:pPr>
      <w:r>
        <w:t>Teilverkauf Depot zur Steuerfinanzierung: sobald Erbschein vorliegt.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