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Mandatsannahme und Kanzleiselbstvertretung</w:t>
      </w:r>
    </w:p>
    <w:p>
      <w:pPr>
        <w:jc w:val="left"/>
      </w:pPr>
      <w:r>
        <w:t>Datum: 14. Oktober 2024</w:t>
      </w:r>
    </w:p>
    <w:p>
      <w:pPr>
        <w:jc w:val="left"/>
      </w:pPr>
      <w:r>
        <w:t>Bearbeitung: RA Dr. Volkard Kröll, Kanzlei Rosenmühle &amp; Partner, Frankfurt am Main</w:t>
      </w:r>
    </w:p>
    <w:p>
      <w:pPr>
        <w:jc w:val="left"/>
      </w:pPr>
      <w:r>
        <w:t>Besprechungsnotiz: RAin Yvonne Tannenkamp (Junior)</w:t>
      </w:r>
    </w:p>
    <w:p/>
    <w:p>
      <w:pPr>
        <w:pStyle w:val="Heading2"/>
      </w:pPr>
      <w:r>
        <w:rPr>
          <w:rFonts w:ascii="Times New Roman" w:hAnsi="Times New Roman"/>
        </w:rPr>
        <w:t>Ausgangslage</w:t>
      </w:r>
    </w:p>
    <w:p>
      <w:pPr>
        <w:jc w:val="left"/>
      </w:pPr>
      <w:r>
        <w:t>Die Kanzlei Rosenmühle &amp; Partner (Partnerschaftsgesellschaft, Sitz: Kaiserstraße 88, 60329 Frankfurt am Main) hat am 14. Oktober 2024 das Mandat der Erbengemeinschaft Aufhauser-Trenkler angenommen. Gegenstand ist die Durchsetzung von Mitgliedschafts- und Vermögensrechten in Bezug auf eine Beteiligung an der Industriepark Rhein-Main Beteiligungs-GmbH &amp; Co. KG (nachfolgend: „IPR-KG"), deren Marktwert zum Bewertungsstichtag 30.06.2024 mit rund 24 Millionen Euro bewertet wurde (Gutachten Wirtschaftsprüfer Steinbrenner &amp; Havelock, Frankfurt, vom 18.08.2024).</w:t>
      </w:r>
    </w:p>
    <w:p>
      <w:pPr>
        <w:jc w:val="left"/>
      </w:pPr>
      <w:r>
        <w:t>Die Erbengemeinschaft setzt sich aus zehn Erben nach dem am 03.04.2024 verstorbenen Franz-Josef Aufhauser zusammen (vgl. Aktenstück 02). Die Gesellschaftsanteile an der IPR-KG gehörten zum Nachlass. Die Gegenseite — andere Gesellschafter der IPR-KG — wird vertreten durch RA Bertram Quistorf-Schwertmann, Kanzlei Quistorf-Schwertmann &amp; Kollegen, Frankfurt-Sachsenhausen.</w:t>
      </w:r>
    </w:p>
    <w:p/>
    <w:p>
      <w:pPr>
        <w:pStyle w:val="Heading2"/>
      </w:pPr>
      <w:r>
        <w:rPr>
          <w:rFonts w:ascii="Times New Roman" w:hAnsi="Times New Roman"/>
        </w:rPr>
        <w:t>Mandatsumfang</w:t>
      </w:r>
    </w:p>
    <w:p>
      <w:pPr>
        <w:jc w:val="left"/>
      </w:pPr>
      <w:r>
        <w:t>Das Mandat umfasst:</w:t>
      </w:r>
    </w:p>
    <w:p>
      <w:pPr>
        <w:pStyle w:val="ListNumber"/>
      </w:pPr>
      <w:r>
        <w:t>Durchsetzung der Informationsrechte der Erbengemeinschaft als Gesellschafterin nach §§ 161, 105 HGB i.V.m. § 166 HGB</w:t>
      </w:r>
    </w:p>
    <w:p>
      <w:pPr>
        <w:pStyle w:val="ListNumber"/>
      </w:pPr>
      <w:r>
        <w:t>Geltendmachung von Gewinnansprüchen für die Geschäftsjahre 2022 und 2023 (Entnahmerecht, streitig)</w:t>
      </w:r>
    </w:p>
    <w:p>
      <w:pPr>
        <w:pStyle w:val="ListNumber"/>
      </w:pPr>
      <w:r>
        <w:t>Abwehr eines Ausschlussbegehrens der Mehrheitsgesellschafter</w:t>
      </w:r>
    </w:p>
    <w:p>
      <w:pPr>
        <w:pStyle w:val="ListNumber"/>
      </w:pPr>
      <w:r>
        <w:t>Verhandlungsführung im Hinblick auf eine einvernehmliche Auseinandersetzung (Abfindung oder Übernahme)</w:t>
      </w:r>
    </w:p>
    <w:p/>
    <w:p>
      <w:pPr>
        <w:pStyle w:val="Heading2"/>
      </w:pPr>
      <w:r>
        <w:rPr>
          <w:rFonts w:ascii="Times New Roman" w:hAnsi="Times New Roman"/>
        </w:rPr>
        <w:t>Vollmacht und Vertretung der Erbengemeinschaft</w:t>
      </w:r>
    </w:p>
    <w:p>
      <w:pPr>
        <w:jc w:val="left"/>
      </w:pPr>
      <w:r>
        <w:t>Die Vollmacht wurde von allen zehn Erben einzeln unterzeichnet (Datum: 12. Oktober 2024). Gemäß §§ 2038, 2040 BGB handeln die Erben hinsichtlich der Gesellschaftsbeteiligung als Gesamthandsgemeinschaft. Zur Vereinfachung der Mandatsführung haben sechs der zehn Erben eine Handlungsvollmacht für Erbin Nr. 1 — Hildegard Aufhauser, geb. Neugebauer, 71 Jahre, Wiesbaden — ausgestellt. Die übrigen vier Erben (darunter Markus Trenkler) haben ausdrücklich individuelle Kommunikationswünsche geäußert.</w:t>
      </w:r>
    </w:p>
    <w:p>
      <w:pPr>
        <w:jc w:val="left"/>
      </w:pPr>
      <w:r>
        <w:t>Die Kanzlei hat darauf hingewiesen, dass eine einheitliche Kommunikationslinie zwingend erforderlich ist und Direktanfragen einzelner Erben an die Gegenseite oder an Dritte das Mandat gefährden können.</w:t>
      </w:r>
    </w:p>
    <w:p/>
    <w:p>
      <w:pPr>
        <w:pStyle w:val="Heading2"/>
      </w:pPr>
      <w:r>
        <w:rPr>
          <w:rFonts w:ascii="Times New Roman" w:hAnsi="Times New Roman"/>
        </w:rPr>
        <w:t>Interne Kanzleiorganisation</w:t>
      </w:r>
    </w:p>
    <w:p>
      <w:pPr>
        <w:jc w:val="left"/>
      </w:pPr>
      <w:r>
        <w:t>Federführend: RA Dr. Volkard Kröll (Partner, Fachanwalt Gesellschaftsrecht), geb. 1968, zugelassen bei der Rechtsanwaltskammer Frankfurt am Main seit 1997. Er ist seit 22 Jahren Partner der Kanzlei. Führt das Mandat persönlich.</w:t>
      </w:r>
    </w:p>
    <w:p>
      <w:pPr>
        <w:jc w:val="left"/>
      </w:pPr>
      <w:r>
        <w:t>Bearbeiterin: RAin Yvonne Tannenkamp (Junioranwältin, 3. Jahr), geb. 1995, Zweites Staatsexamen 2022. Zuständig für Schriftverkehr, Fristenüberwachung, Koordination mit den Erben.</w:t>
      </w:r>
    </w:p>
    <w:p>
      <w:pPr>
        <w:jc w:val="left"/>
      </w:pPr>
      <w:r>
        <w:t>Sekretariat: Frau Hannelore Bischoff (Kanzleisekretärin, 24 Jahre Betriebszugehörigkeit). Zuständig für E-Mail-Verteilung und Posteingang.</w:t>
      </w:r>
    </w:p>
    <w:p/>
    <w:p>
      <w:pPr>
        <w:pStyle w:val="Heading2"/>
      </w:pPr>
      <w:r>
        <w:rPr>
          <w:rFonts w:ascii="Times New Roman" w:hAnsi="Times New Roman"/>
        </w:rPr>
        <w:t>Problemhinweis aus dem Erstgespräch</w:t>
      </w:r>
    </w:p>
    <w:p>
      <w:pPr>
        <w:jc w:val="left"/>
      </w:pPr>
      <w:r>
        <w:t>RA Dr. Kröll hat im Erstgespräch am 14.10.2024 festgestellt, dass die Erbengemeinschaft intern tief zerstritten ist. Vier Erben — allen voran Markus Trenkler (Enkel, 41 Jahre, Trenkler Metallhandel GmbH, Hanau) — verfolgen aggressive Taktiken: direkte Kontaktaufnahme mit der Gegenseite, öffentliche Kommentare in regionalen Onlinemedien, und haben dem Kanzlei-Team intern vorgeworfen, das Mandat zu verschleppen.</w:t>
      </w:r>
    </w:p>
    <w:p>
      <w:pPr>
        <w:jc w:val="left"/>
      </w:pPr>
      <w:r>
        <w:t>Diese internen Spannungen wurden als hohes Eskalationsrisiko protokolliert. RAin Tannenkamp wurde angewiesen, alle Kommunikation mit Markus Trenkler ausschließlich schriftlich und über den zentralen Kanzlei-E-Mail-Account zu führen.</w:t>
      </w:r>
    </w:p>
    <w:p/>
    <w:p>
      <w:pPr>
        <w:pStyle w:val="Heading2"/>
      </w:pPr>
      <w:r>
        <w:rPr>
          <w:rFonts w:ascii="Times New Roman" w:hAnsi="Times New Roman"/>
        </w:rPr>
        <w:t>Mandatsannahme-Erklärung (Auszug)</w:t>
      </w:r>
    </w:p>
    <w:p>
      <w:pPr>
        <w:ind w:left="567"/>
      </w:pPr>
      <w:r>
        <w:rPr>
          <w:i/>
        </w:rPr>
        <w:t>Wir, die unterzeichnenden Mitglieder der Erbengemeinschaft nach Franz-Josef Aufhauser, erteilen hiermit der Kanzlei Rosenmühle &amp; Partner, Frankfurt am Main, Vollmacht zur umfassenden rechtsanwaltlichen Vertretung in allen Angelegenheiten betreffend die Nachlassbeteiligung an der Industriepark Rhein-Main Beteiligungs-GmbH &amp; Co. KG [...].</w:t>
      </w:r>
    </w:p>
    <w:p>
      <w:pPr>
        <w:ind w:left="567"/>
      </w:pPr>
    </w:p>
    <w:p>
      <w:pPr>
        <w:ind w:left="567"/>
      </w:pPr>
      <w:r>
        <w:rPr>
          <w:i/>
        </w:rPr>
        <w:t>Frankfurt am Main, 12. Oktober 2024</w:t>
      </w:r>
    </w:p>
    <w:p>
      <w:pPr>
        <w:jc w:val="left"/>
      </w:pPr>
      <w:r>
        <w:t>Unterzeichnet von allen zehn Erben (Originale in der Mandatsakte, Kopien digitalisiert).</w:t>
      </w:r>
    </w:p>
    <w:p/>
    <w:p>
      <w:pPr>
        <w:pStyle w:val="Heading2"/>
      </w:pPr>
      <w:r>
        <w:rPr>
          <w:rFonts w:ascii="Times New Roman" w:hAnsi="Times New Roman"/>
        </w:rPr>
        <w:t>Retainer und Kostenvereinbarung</w:t>
      </w:r>
    </w:p>
    <w:p>
      <w:pPr>
        <w:jc w:val="left"/>
      </w:pPr>
      <w:r>
        <w:t>Vergütung nach RVG, Gegenstandswert 24 Millionen Euro. Vorschuss 50.000 EUR eingegangen am 17.10.2024 (Hildegard Aufhauser). Stundensatz RA Dr. Kröll 380 EUR, RAin Tannenkamp 220 EUR. Kanzleipauschale nach Vereinbarung.</w:t>
      </w:r>
    </w:p>
    <w:p/>
    <w:p>
      <w:pPr>
        <w:jc w:val="left"/>
      </w:pPr>
      <w:r>
        <w:t>Bearbeitungsstand: Aktenstück angelegt 14.10.2024 / Letzte Aktualisierung: 22.04.2026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