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Beteiligte und Verfahrensübersicht</w:t>
      </w:r>
    </w:p>
    <w:p>
      <w:pPr>
        <w:jc w:val="left"/>
      </w:pPr>
      <w:r>
        <w:t>Aktenstand: April 2026</w:t>
      </w:r>
    </w:p>
    <w:p>
      <w:pPr>
        <w:jc w:val="left"/>
      </w:pPr>
      <w:r>
        <w:t>Kanzlei Rosenmühle &amp; Partner, Frankfurt am Main — RA Dr. Volkard Kröll (federführend)</w:t>
      </w:r>
    </w:p>
    <w:p/>
    <w:p>
      <w:pPr>
        <w:pStyle w:val="Heading2"/>
      </w:pPr>
      <w:r>
        <w:rPr>
          <w:rFonts w:ascii="Times New Roman" w:hAnsi="Times New Roman"/>
        </w:rPr>
        <w:t>Mandantenseite: Erbengemeinschaft Aufhauser-Trenkler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Verhältnis zum Erblasser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Wohnort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Erbquote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Besonderheiten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Hildegard Aufhauser, geb. Neugebauer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Witwe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Wiesbaden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Bevollmächtigte der Erbengemeinschaft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Renate Aufhauser-Stoll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Tochter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Professorin, sachlich kooperativ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Clemens Aufhauser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Sohn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München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Unternehmensberater, abwartend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Markus Trenkler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Enkel (Sohn Tochter Grete Trenkler, verst. 2019)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Hanau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Haupteskalator; Trenkler Metallhandel GmbH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Sabine Trenkler-Vogt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Enkelin (Schwester Markus)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Folgt meist Markus, aber verhandlungsbereit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Prof. Artur Havelock-Aufhauser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Neffe (Bruder Franz-Josef, Sohn)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Heidelberg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Juristische Kenntnisse, kritisch aber sachlich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Lena Aufhauser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Enkelin (Tochter Clemens)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Hamburg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Studentin, passiv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Gregor Meinhardt-Aufhauser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Enkelschwiegersohn (Ehemann Renate Tochter)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Bankfachwirt, zahlenorientiert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Dorothea Kessler, geb. Aufhauser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Nichte (Tochter Bruder Ernst)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Darmstadt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Lehrerin, vermittelt gerne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Wolfgang Kessler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Neffensohn (Sohn Dorothea)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Mainz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1/16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Apotheker, bisher unauffällig</w:t>
            </w:r>
          </w:p>
        </w:tc>
      </w:tr>
    </w:tbl>
    <w:p>
      <w:pPr>
        <w:jc w:val="left"/>
      </w:pPr>
      <w:r>
        <w:rPr>
          <w:b/>
        </w:rPr>
        <w:t>Gesamt: 10 Erben; Summe Quoten = 24/16 = ergibt sich aus historischer Testamentsgestaltung; tatsächliche Quoten im Testament festgelegt.</w:t>
      </w:r>
    </w:p>
    <w:p/>
    <w:p>
      <w:pPr>
        <w:pStyle w:val="Heading2"/>
      </w:pPr>
      <w:r>
        <w:rPr>
          <w:rFonts w:ascii="Times New Roman" w:hAnsi="Times New Roman"/>
        </w:rPr>
        <w:t>Gegenseite</w:t>
      </w:r>
    </w:p>
    <w:p>
      <w:pPr>
        <w:jc w:val="left"/>
      </w:pPr>
      <w:r>
        <w:rPr>
          <w:b/>
        </w:rPr>
        <w:t>RA Bertram Quistorf-Schwertmann</w:t>
      </w:r>
    </w:p>
    <w:p>
      <w:pPr>
        <w:jc w:val="left"/>
      </w:pPr>
      <w:r>
        <w:t>Kanzlei Quistorf-Schwertmann &amp; Kollegen</w:t>
      </w:r>
    </w:p>
    <w:p>
      <w:pPr>
        <w:jc w:val="left"/>
      </w:pPr>
      <w:r>
        <w:t>Sachsenhäuser Ufer 12, 60594 Frankfurt am Main</w:t>
      </w:r>
    </w:p>
    <w:p>
      <w:pPr>
        <w:jc w:val="left"/>
      </w:pPr>
      <w:r>
        <w:t>Tel: 069 / 7823-0</w:t>
      </w:r>
    </w:p>
    <w:p>
      <w:pPr>
        <w:jc w:val="left"/>
      </w:pPr>
      <w:r>
        <w:t>Vertritt: die übrigen Gesellschafter der IPR-KG (Mehrheitsgesellschafter Familie Kreutzfeld-Haimerl, drei Personen + zwei institutionelle Beteiligungen)</w:t>
      </w:r>
    </w:p>
    <w:p>
      <w:pPr>
        <w:jc w:val="left"/>
      </w:pPr>
      <w:r>
        <w:t>RA Quistorf-Schwertmann ist seit 34 Jahren zugelassen, gilt als hartnäckiger Prozessanwalt, ist aber bekannt für sittenwidrige Verhandlungstaktiken laut internem Kanzleiwissen (nicht belegt, vgl. Aktenstück 05).</w:t>
      </w:r>
    </w:p>
    <w:p/>
    <w:p>
      <w:pPr>
        <w:pStyle w:val="Heading2"/>
      </w:pPr>
      <w:r>
        <w:rPr>
          <w:rFonts w:ascii="Times New Roman" w:hAnsi="Times New Roman"/>
        </w:rPr>
        <w:t>Sonstige Verfahrensbeteiligte</w:t>
      </w:r>
    </w:p>
    <w:p>
      <w:pPr>
        <w:jc w:val="left"/>
      </w:pPr>
      <w:r>
        <w:rPr>
          <w:b/>
        </w:rPr>
        <w:t>Notar-Vertretung:</w:t>
      </w:r>
      <w:r>
        <w:t xml:space="preserve"> Notariat Gehrmann &amp; Partner, Frankfurt (Notar-Vertreter Dr. Philipp Rüdell, zuständig für die gesellschaftsvertraglichen Beurkundungen); RAin Tannenkamp hat mit Dr. Rüdell am 22.02.2026 schriftlich korrespondiert (vgl. Aktenstück EML 2026-02-22).</w:t>
      </w:r>
    </w:p>
    <w:p>
      <w:pPr>
        <w:jc w:val="left"/>
      </w:pPr>
      <w:r>
        <w:rPr>
          <w:b/>
        </w:rPr>
        <w:t>Wirtschaftsprüfer:</w:t>
      </w:r>
      <w:r>
        <w:t xml:space="preserve"> Steinbrenner &amp; Havelock GmbH, Frankfurt (Gutachter, Unternehmenswert IPR-KG)</w:t>
      </w:r>
    </w:p>
    <w:p>
      <w:pPr>
        <w:jc w:val="left"/>
      </w:pPr>
      <w:r>
        <w:rPr>
          <w:b/>
        </w:rPr>
        <w:t>Rechtsanwaltskammer Frankfurt am Main (RAK Frankfurt)</w:t>
      </w:r>
    </w:p>
    <w:p>
      <w:pPr>
        <w:jc w:val="left"/>
      </w:pPr>
      <w:r>
        <w:t>Bockenheimer Anlage 36, 60322 Frankfurt am Main</w:t>
      </w:r>
    </w:p>
    <w:p>
      <w:pPr>
        <w:jc w:val="left"/>
      </w:pPr>
      <w:r>
        <w:t>Zuständig für berufsrechtliche Aufsicht über RA Dr. Kröll und RAin Tannenkamp; hat am 22.03.2026 ein Anhörungsschreiben an die Kanzlei gerichtet (Az. RAK-F 188/26; vgl. Aktenstück EML 2026-03-22).</w:t>
      </w:r>
    </w:p>
    <w:p>
      <w:pPr>
        <w:jc w:val="left"/>
      </w:pPr>
      <w:r>
        <w:rPr>
          <w:b/>
        </w:rPr>
        <w:t>Hessischer Beauftragter für Datenschutz und Informationsfreiheit (HBDI)</w:t>
      </w:r>
    </w:p>
    <w:p>
      <w:pPr>
        <w:jc w:val="left"/>
      </w:pPr>
      <w:r>
        <w:t>Datenpanne gemäß Art. 33 DSGVO: Meldung am 10.03.2026 erstattet (vgl. Aktenstück 10).</w:t>
      </w:r>
    </w:p>
    <w:p/>
    <w:p>
      <w:pPr>
        <w:pStyle w:val="Heading2"/>
      </w:pPr>
      <w:r>
        <w:rPr>
          <w:rFonts w:ascii="Times New Roman" w:hAnsi="Times New Roman"/>
        </w:rPr>
        <w:t>Verfahrenschronologie (Kurzübersicht)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03.04.2024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Tod Franz-Josef Aufhauser, Frankfurt; Testament beim AG Frankfurt eröffnet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14.10.2024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Mandatsannahme Kanzlei Rosenmühle &amp; Partner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Nov.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Informationsanfrage an Gegenseite nach § 166 HGB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Jan.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Weigerung Gegenseite; Fristsetzung Kröll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Teiloffenbarung Jahresabschlüsse 2022; 2023 weiterhin verweigert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Aug.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Interner Streit Erbengemeinschaft eskaliert: Markus Trenkler schreibt direkt an Gegenseite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Okt.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Dr. Kröll schreibt nächtliche E-Mail an RA Quistorf-Schwertmann (erste Eskalation)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Emotionale E-Mail Kröll an Quistorf-Schwertmann, 01:47 Uhr (vgl. EML-Original)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Umformulierung durch Plugin-Einsatz, Version 3 (vgl. EML-Umformulierung)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RAin Tannenkamp schreibt scharfen Brief an Dr. Rüdell (Notar-Vertreter)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DSGVO-Datenpanne: private Adresse RAin Tannenkamp versehentlich an alle 10 Erben Cc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Meldung HBDI durch RA Dr. Kröll gemäß Art. 33 DSGVO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Mandantenbeschwerde Markus Trenkler bei RAK Frankfurt wegen § 43a Abs. 3 BRAO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Anhörungsschreiben RAK Frankfurt (Az. RAK-F 188/26)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Kanzlei an RAK Frankfurt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Aktenstand dieser Zusammenfassung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Streitwert und wirtschaftliche Bedeutung</w:t>
      </w:r>
    </w:p>
    <w:p>
      <w:pPr>
        <w:jc w:val="left"/>
      </w:pPr>
      <w:r>
        <w:t>Gesellschaftsanteil Erbengemeinschaft an IPR-KG: rechnerisch 38,7 % der Kommanditbeteiligung. Gutachtenwert gesamt IPR-KG: 24 Millionen Euro. Streitwert (Informationserzwingungsklage): 480.000 EUR (2 % Gegenstandswert, § 182 ZPO analog). Abfindungsverhandlung: geschätzter Zielwert für Erbengemeinschaft 8,5–9,3 Millionen Euro.</w:t>
      </w:r>
    </w:p>
    <w:p/>
    <w:p>
      <w:pPr>
        <w:jc w:val="left"/>
      </w:pPr>
      <w:r>
        <w:t>Bearbeitungsstand: Aktenstück angelegt 14.10.2024 / Letzte Aktualisierung: 22.04.2026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