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 43a Abs. 3 BRAO — Sachlichkeitsgebot</w:t>
      </w:r>
    </w:p>
    <w:p>
      <w:pPr>
        <w:jc w:val="left"/>
      </w:pPr>
      <w:r>
        <w:t>Rechtliche Grundlage und Analyse im Kontext der Kanzlei Rosenmühle &amp; Partner</w:t>
      </w:r>
    </w:p>
    <w:p/>
    <w:p>
      <w:pPr>
        <w:pStyle w:val="Heading2"/>
      </w:pPr>
      <w:r>
        <w:rPr>
          <w:rFonts w:ascii="Times New Roman" w:hAnsi="Times New Roman"/>
        </w:rPr>
        <w:t>Gesetzestext</w:t>
      </w:r>
    </w:p>
    <w:p>
      <w:pPr>
        <w:jc w:val="left"/>
      </w:pPr>
      <w:r>
        <w:t>§ 43a Abs. 3 BRAO lautet:</w:t>
      </w:r>
    </w:p>
    <w:p>
      <w:pPr>
        <w:ind w:left="567"/>
      </w:pPr>
      <w:r>
        <w:rPr>
          <w:i/>
        </w:rPr>
        <w:t>Der Rechtsanwalt ist zur Sachlichkeit verpflichtet. Er darf nicht bewusst Unwahrheiten verbreiten und keine unsachlichen Angriffe gegen Beteiligte des Verfahrens oder Dritte vornehmen.</w:t>
      </w:r>
    </w:p>
    <w:p>
      <w:pPr>
        <w:jc w:val="left"/>
      </w:pPr>
      <w:r>
        <w:t>Quelle: dejure.org — § 43a BRAO</w:t>
      </w:r>
    </w:p>
    <w:p/>
    <w:p>
      <w:pPr>
        <w:pStyle w:val="Heading2"/>
      </w:pPr>
      <w:r>
        <w:rPr>
          <w:rFonts w:ascii="Times New Roman" w:hAnsi="Times New Roman"/>
        </w:rPr>
        <w:t>Regelungskontext und Zweck</w:t>
      </w:r>
    </w:p>
    <w:p>
      <w:pPr>
        <w:jc w:val="left"/>
      </w:pPr>
      <w:r>
        <w:t>Das Sachlichkeitsgebot ist eine der zentralen Berufspflichten des Rechtsanwalts. Es ergänzt das allgemeine Berufsrecht (§ 43 BRAO) und steht in engem Zusammenhang mit dem Gebot der kollegialen Zusammenarbeit (§ 2 BORA). Die Norm verfolgt drei Schutzzwecke:</w:t>
      </w:r>
    </w:p>
    <w:p>
      <w:pPr>
        <w:pStyle w:val="ListNumber"/>
      </w:pPr>
      <w:r>
        <w:rPr>
          <w:b/>
        </w:rPr>
        <w:t>Schutz der Rechtspflege:</w:t>
      </w:r>
      <w:r>
        <w:t xml:space="preserve"> Anwaltliche Kommunikation muss der geordneten Rechtsfindung dienen, nicht emotionalen Entladungen.</w:t>
      </w:r>
    </w:p>
    <w:p>
      <w:pPr>
        <w:pStyle w:val="ListNumber"/>
      </w:pPr>
      <w:r>
        <w:rPr>
          <w:b/>
        </w:rPr>
        <w:t>Schutz der Verfahrensbeteiligten:</w:t>
      </w:r>
      <w:r>
        <w:t xml:space="preserve"> Kollegen, Richter, Zeugen und Mandanten dürfen nicht durch unsachliche Angriffe in ihrer Würde oder ihrem Ansehen verletzt werden.</w:t>
      </w:r>
    </w:p>
    <w:p>
      <w:pPr>
        <w:pStyle w:val="ListNumber"/>
      </w:pPr>
      <w:r>
        <w:rPr>
          <w:b/>
        </w:rPr>
        <w:t>Schutz des Ansehens des Anwaltsstands:</w:t>
      </w:r>
      <w:r>
        <w:t xml:space="preserve"> Unkontrollierte Korrespondenz beschädigt das Vertrauen der Öffentlichkeit in die Rechtspflege.</w:t>
      </w:r>
    </w:p>
    <w:p/>
    <w:p>
      <w:pPr>
        <w:pStyle w:val="Heading2"/>
      </w:pPr>
      <w:r>
        <w:rPr>
          <w:rFonts w:ascii="Times New Roman" w:hAnsi="Times New Roman"/>
        </w:rPr>
        <w:t>Tatbestandsmerkmale</w:t>
      </w:r>
    </w:p>
    <w:p>
      <w:pPr>
        <w:pStyle w:val="Heading3"/>
      </w:pPr>
      <w:r>
        <w:rPr>
          <w:rFonts w:ascii="Times New Roman" w:hAnsi="Times New Roman"/>
        </w:rPr>
        <w:t>Sachlichkeitsverstoß — Positives Tun</w:t>
      </w:r>
    </w:p>
    <w:p>
      <w:pPr>
        <w:jc w:val="left"/>
      </w:pPr>
      <w:r>
        <w:t>Ein Verstoß liegt vor bei:</w:t>
      </w:r>
    </w:p>
    <w:p>
      <w:pPr>
        <w:pStyle w:val="ListBullet"/>
      </w:pPr>
      <w:r>
        <w:rPr>
          <w:b/>
        </w:rPr>
        <w:t>Bewussten Unwahrheiten:</w:t>
      </w:r>
      <w:r>
        <w:t xml:space="preserve"> Falschbehauptungen über den Sachverhalt oder die Rechtslage, wenn dem Anwalt die Unwahrheit bekannt ist. Fahrlässige Falschangaben können einen Verstoß begründen, sind aber strenger zu prüfen.</w:t>
      </w:r>
    </w:p>
    <w:p>
      <w:pPr>
        <w:pStyle w:val="ListBullet"/>
      </w:pPr>
      <w:r>
        <w:rPr>
          <w:b/>
        </w:rPr>
        <w:t>Unsachlichen Angriffen:</w:t>
      </w:r>
      <w:r>
        <w:t xml:space="preserve"> Beschimpfungen, Herabsetzungen, Verdächtigungen ohne Tatsachengrundlage gegen Verfahrensbeteiligte. Relevant hier: Unterstellung sittenwidrigen Verhaltens gegenüber RA Quistorf-Schwertmann (vgl. E-Mail Kröll, 14.02.2026).</w:t>
      </w:r>
    </w:p>
    <w:p>
      <w:pPr>
        <w:pStyle w:val="ListBullet"/>
      </w:pPr>
      <w:r>
        <w:rPr>
          <w:b/>
        </w:rPr>
        <w:t>Emotionalisierung statt Argumentation:</w:t>
      </w:r>
      <w:r>
        <w:t xml:space="preserve"> Sprachliche Entgleisungen, die auf persönliche Abneigung statt juristische Substanz hindeuten.</w:t>
      </w:r>
    </w:p>
    <w:p>
      <w:pPr>
        <w:pStyle w:val="Heading3"/>
      </w:pPr>
      <w:r>
        <w:rPr>
          <w:rFonts w:ascii="Times New Roman" w:hAnsi="Times New Roman"/>
        </w:rPr>
        <w:t>Abgrenzung zur erlaubten Kritik</w:t>
      </w:r>
    </w:p>
    <w:p>
      <w:pPr>
        <w:jc w:val="left"/>
      </w:pPr>
      <w:r>
        <w:t>Erlaubt bleibt:</w:t>
      </w:r>
    </w:p>
    <w:p>
      <w:pPr>
        <w:pStyle w:val="ListBullet"/>
      </w:pPr>
      <w:r>
        <w:t>Scharfe, aber sachlich belegbare Kritik an der Rechtsauffassung des Gegners</w:t>
      </w:r>
    </w:p>
    <w:p>
      <w:pPr>
        <w:pStyle w:val="ListBullet"/>
      </w:pPr>
      <w:r>
        <w:t>Deutliche Benennung von Verfahrensverzögerungen oder taktischen Verhaltensweisen</w:t>
      </w:r>
    </w:p>
    <w:p>
      <w:pPr>
        <w:pStyle w:val="ListBullet"/>
      </w:pPr>
      <w:r>
        <w:t>Emotional gefärbte Ausdrucksweise in engen Grenzen, soweit sie erkennbar rhetorisch eingesetzt wird und nicht den Charakter eines persönlichen Angriffs annimmt</w:t>
      </w:r>
    </w:p>
    <w:p>
      <w:pPr>
        <w:jc w:val="left"/>
      </w:pPr>
      <w:r>
        <w:t>Der Bundesgerichtshof hat dazu ausgeführt, dass anwaltliche Kritik am Verhalten von Verfahrensbeteiligten grundsätzlich zulässig ist, solange sie sich auf nachvollziehbare Tatsachen stützt und nicht in eine persönliche Diffamierung umschlägt (vgl. BGH, NJW 2006, 1136).</w:t>
      </w:r>
    </w:p>
    <w:p/>
    <w:p>
      <w:pPr>
        <w:pStyle w:val="Heading2"/>
      </w:pPr>
      <w:r>
        <w:rPr>
          <w:rFonts w:ascii="Times New Roman" w:hAnsi="Times New Roman"/>
        </w:rPr>
        <w:t>Anwendung auf den vorliegenden Fall</w:t>
      </w:r>
    </w:p>
    <w:p>
      <w:pPr>
        <w:pStyle w:val="Heading3"/>
      </w:pPr>
      <w:r>
        <w:rPr>
          <w:rFonts w:ascii="Times New Roman" w:hAnsi="Times New Roman"/>
        </w:rPr>
        <w:t>Kröll-E-Mail vom 14.02.2026</w:t>
      </w:r>
    </w:p>
    <w:p>
      <w:pPr>
        <w:jc w:val="left"/>
      </w:pPr>
      <w:r>
        <w:t>Die Originalversion der E-Mail von RA Dr. Kröll an RA Quistorf-Schwertmann (01:47 Uhr, vgl. EML-Original) enthält mindestens drei problematische Passagen:</w:t>
      </w:r>
    </w:p>
    <w:p>
      <w:pPr>
        <w:pStyle w:val="ListNumber"/>
      </w:pPr>
      <w:r>
        <w:rPr>
          <w:b/>
        </w:rPr>
        <w:t>Unterstellung sittenwidrigen Verhaltens:</w:t>
      </w:r>
      <w:r>
        <w:t xml:space="preserve"> „Ihr Verhalten ist sittenwidrig und riecht nach Prozessbetrug." — Dies ist eine strafrechtlich aufgeladene Unterstellung ohne hinreichende Tatsachengrundlage. Sittenwidrigkeit (§ 138 BGB) und Prozessbetrug (§ 263 StGB) sind schwerwiegende Vorwürfe; die bloße Verweigerung von Jahresabschlüssen reicht nicht aus.</w:t>
      </w:r>
    </w:p>
    <w:p>
      <w:pPr>
        <w:pStyle w:val="ListNumber"/>
      </w:pPr>
      <w:r>
        <w:rPr>
          <w:b/>
        </w:rPr>
        <w:t>Persönlichkeitsbezogener Angriff:</w:t>
      </w:r>
      <w:r>
        <w:t xml:space="preserve"> „Wenn Sie in 34 Jahren Praxis nichts anderes gelernt haben als zu mauern, sollten Sie überlegen, ob Sie den falschen Beruf gewählt haben." — Kein sachlicher Beitrag zur Rechtsposition, sondern reine persönliche Herabsetzung.</w:t>
      </w:r>
    </w:p>
    <w:p>
      <w:pPr>
        <w:pStyle w:val="ListNumber"/>
      </w:pPr>
      <w:r>
        <w:rPr>
          <w:b/>
        </w:rPr>
        <w:t>Drohung mit Insolvenzantrag:</w:t>
      </w:r>
      <w:r>
        <w:t xml:space="preserve"> „Wenn Sie nicht zahlen, ziehen wir die Insolvenz durch." — Diese Aussage überschreitet möglicherweise die Grenze zu § 240 StGB (vgl. Aktenstück 09).</w:t>
      </w:r>
    </w:p>
    <w:p>
      <w:pPr>
        <w:pStyle w:val="Heading3"/>
      </w:pPr>
      <w:r>
        <w:rPr>
          <w:rFonts w:ascii="Times New Roman" w:hAnsi="Times New Roman"/>
        </w:rPr>
        <w:t>Tannenkamp-Brief vom 22.02.2026</w:t>
      </w:r>
    </w:p>
    <w:p>
      <w:pPr>
        <w:jc w:val="left"/>
      </w:pPr>
      <w:r>
        <w:t>Das Schreiben von RAin Tannenkamp an Notar-Vertreter Dr. Rüdell enthält Formulierungen, die als implizite Beschuldigung der Amtspflichtverletzung gelesen werden können, ohne konkrete Tatsachen zu benennen. Dies ist ein eigenständiger Sachlichkeitsverstoß.</w:t>
      </w:r>
    </w:p>
    <w:p/>
    <w:p>
      <w:pPr>
        <w:pStyle w:val="Heading2"/>
      </w:pPr>
      <w:r>
        <w:rPr>
          <w:rFonts w:ascii="Times New Roman" w:hAnsi="Times New Roman"/>
        </w:rPr>
        <w:t>Sanktionen bei Verstoß</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Sanktion</w:t>
            </w:r>
          </w:p>
        </w:tc>
        <w:tc>
          <w:tcPr>
            <w:tcW w:type="dxa" w:w="3024"/>
          </w:tcPr>
          <w:p>
            <w:r>
              <w:rPr>
                <w:rFonts w:ascii="Times New Roman" w:hAnsi="Times New Roman"/>
                <w:b/>
                <w:sz w:val="20"/>
              </w:rPr>
              <w:t>Grundlage</w:t>
            </w:r>
          </w:p>
        </w:tc>
        <w:tc>
          <w:tcPr>
            <w:tcW w:type="dxa" w:w="3024"/>
          </w:tcPr>
          <w:p>
            <w:r>
              <w:rPr>
                <w:rFonts w:ascii="Times New Roman" w:hAnsi="Times New Roman"/>
                <w:b/>
                <w:sz w:val="20"/>
              </w:rPr>
              <w:t>Organ</w:t>
            </w:r>
          </w:p>
        </w:tc>
      </w:tr>
      <w:tr>
        <w:tc>
          <w:tcPr>
            <w:tcW w:type="dxa" w:w="3024"/>
          </w:tcPr>
          <w:p>
            <w:r>
              <w:rPr>
                <w:rFonts w:ascii="Times New Roman" w:hAnsi="Times New Roman"/>
                <w:sz w:val="20"/>
              </w:rPr>
              <w:t>Belehrung/Rüge</w:t>
            </w:r>
          </w:p>
        </w:tc>
        <w:tc>
          <w:tcPr>
            <w:tcW w:type="dxa" w:w="3024"/>
          </w:tcPr>
          <w:p>
            <w:r>
              <w:rPr>
                <w:rFonts w:ascii="Times New Roman" w:hAnsi="Times New Roman"/>
                <w:sz w:val="20"/>
              </w:rPr>
              <w:t>§ 74 BRAO</w:t>
            </w:r>
          </w:p>
        </w:tc>
        <w:tc>
          <w:tcPr>
            <w:tcW w:type="dxa" w:w="3024"/>
          </w:tcPr>
          <w:p>
            <w:r>
              <w:rPr>
                <w:rFonts w:ascii="Times New Roman" w:hAnsi="Times New Roman"/>
                <w:sz w:val="20"/>
              </w:rPr>
              <w:t>Rechtsanwaltskammer</w:t>
            </w:r>
          </w:p>
        </w:tc>
      </w:tr>
      <w:tr>
        <w:tc>
          <w:tcPr>
            <w:tcW w:type="dxa" w:w="3024"/>
          </w:tcPr>
          <w:p>
            <w:r>
              <w:rPr>
                <w:rFonts w:ascii="Times New Roman" w:hAnsi="Times New Roman"/>
                <w:sz w:val="20"/>
              </w:rPr>
              <w:t>Geldbuße bis 25.000 EUR</w:t>
            </w:r>
          </w:p>
        </w:tc>
        <w:tc>
          <w:tcPr>
            <w:tcW w:type="dxa" w:w="3024"/>
          </w:tcPr>
          <w:p>
            <w:r>
              <w:rPr>
                <w:rFonts w:ascii="Times New Roman" w:hAnsi="Times New Roman"/>
                <w:sz w:val="20"/>
              </w:rPr>
              <w:t>§ 114 Abs. 1 Nr. 3 BRAO</w:t>
            </w:r>
          </w:p>
        </w:tc>
        <w:tc>
          <w:tcPr>
            <w:tcW w:type="dxa" w:w="3024"/>
          </w:tcPr>
          <w:p>
            <w:r>
              <w:rPr>
                <w:rFonts w:ascii="Times New Roman" w:hAnsi="Times New Roman"/>
                <w:sz w:val="20"/>
              </w:rPr>
              <w:t>Anwaltsgericht</w:t>
            </w:r>
          </w:p>
        </w:tc>
      </w:tr>
      <w:tr>
        <w:tc>
          <w:tcPr>
            <w:tcW w:type="dxa" w:w="3024"/>
          </w:tcPr>
          <w:p>
            <w:r>
              <w:rPr>
                <w:rFonts w:ascii="Times New Roman" w:hAnsi="Times New Roman"/>
                <w:sz w:val="20"/>
              </w:rPr>
              <w:t>Vertretungsverbot</w:t>
            </w:r>
          </w:p>
        </w:tc>
        <w:tc>
          <w:tcPr>
            <w:tcW w:type="dxa" w:w="3024"/>
          </w:tcPr>
          <w:p>
            <w:r>
              <w:rPr>
                <w:rFonts w:ascii="Times New Roman" w:hAnsi="Times New Roman"/>
                <w:sz w:val="20"/>
              </w:rPr>
              <w:t>§ 114 Abs. 1 Nr. 4 BRAO</w:t>
            </w:r>
          </w:p>
        </w:tc>
        <w:tc>
          <w:tcPr>
            <w:tcW w:type="dxa" w:w="3024"/>
          </w:tcPr>
          <w:p>
            <w:r>
              <w:rPr>
                <w:rFonts w:ascii="Times New Roman" w:hAnsi="Times New Roman"/>
                <w:sz w:val="20"/>
              </w:rPr>
              <w:t>Anwaltsgericht</w:t>
            </w:r>
          </w:p>
        </w:tc>
      </w:tr>
      <w:tr>
        <w:tc>
          <w:tcPr>
            <w:tcW w:type="dxa" w:w="3024"/>
          </w:tcPr>
          <w:p>
            <w:r>
              <w:rPr>
                <w:rFonts w:ascii="Times New Roman" w:hAnsi="Times New Roman"/>
                <w:sz w:val="20"/>
              </w:rPr>
              <w:t>Ausschluss aus der Anwaltschaft</w:t>
            </w:r>
          </w:p>
        </w:tc>
        <w:tc>
          <w:tcPr>
            <w:tcW w:type="dxa" w:w="3024"/>
          </w:tcPr>
          <w:p>
            <w:r>
              <w:rPr>
                <w:rFonts w:ascii="Times New Roman" w:hAnsi="Times New Roman"/>
                <w:sz w:val="20"/>
              </w:rPr>
              <w:t>§ 114 Abs. 1 Nr. 5 BRAO</w:t>
            </w:r>
          </w:p>
        </w:tc>
        <w:tc>
          <w:tcPr>
            <w:tcW w:type="dxa" w:w="3024"/>
          </w:tcPr>
          <w:p>
            <w:r>
              <w:rPr>
                <w:rFonts w:ascii="Times New Roman" w:hAnsi="Times New Roman"/>
                <w:sz w:val="20"/>
              </w:rPr>
              <w:t>Anwaltsgericht</w:t>
            </w:r>
          </w:p>
        </w:tc>
      </w:tr>
    </w:tbl>
    <w:p>
      <w:pPr>
        <w:jc w:val="left"/>
      </w:pPr>
      <w:r>
        <w:t>Eine Rüge (§ 74 BRAO) ist das mildeste Mittel und wird typischerweise bei erstmaligen Verstößen ohne schweren Schaden verhängt. Im vorliegenden Fall ist angesichts der Kombination von Sachlichkeitsverstoß, DSGVO-Panne und potentiellem § 240-StGB-Problem von einem erhöhten Sanktionsrisiko auszugehen.</w:t>
      </w:r>
    </w:p>
    <w:p/>
    <w:p>
      <w:pPr>
        <w:pStyle w:val="Heading2"/>
      </w:pPr>
      <w:r>
        <w:rPr>
          <w:rFonts w:ascii="Times New Roman" w:hAnsi="Times New Roman"/>
        </w:rPr>
        <w:t>Quellen</w:t>
      </w:r>
    </w:p>
    <w:p>
      <w:pPr>
        <w:pStyle w:val="ListBullet"/>
      </w:pPr>
      <w:r>
        <w:t>§ 43a BRAO — dejure.org</w:t>
      </w:r>
    </w:p>
    <w:p>
      <w:pPr>
        <w:pStyle w:val="ListBullet"/>
      </w:pPr>
      <w:r>
        <w:t>§ 74 BRAO — dejure.org</w:t>
      </w:r>
    </w:p>
    <w:p>
      <w:pPr>
        <w:pStyle w:val="ListBullet"/>
      </w:pPr>
      <w:r>
        <w:t>§ 114 BRAO — dejure.org</w:t>
      </w:r>
    </w:p>
    <w:p>
      <w:pPr>
        <w:pStyle w:val="ListBullet"/>
      </w:pPr>
      <w:r>
        <w:t>BGH, Urteil v. 18.11.1996, AnwZ (B) 39/95 — openjur.de</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