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Kollegiale Korrespondenz — § 2 BORA</w:t>
      </w:r>
    </w:p>
    <w:p>
      <w:pPr>
        <w:jc w:val="left"/>
      </w:pPr>
      <w:r>
        <w:t>Analyse der kollegialen Pflichten und ihrer Verletzung im Mandatskontext</w:t>
      </w:r>
    </w:p>
    <w:p/>
    <w:p>
      <w:pPr>
        <w:pStyle w:val="Heading2"/>
      </w:pPr>
      <w:r>
        <w:rPr>
          <w:rFonts w:ascii="Times New Roman" w:hAnsi="Times New Roman"/>
        </w:rPr>
        <w:t>Gesetzestext</w:t>
      </w:r>
    </w:p>
    <w:p>
      <w:pPr>
        <w:jc w:val="left"/>
      </w:pPr>
      <w:r>
        <w:t>§ 2 BORA (Berufsordnung für Rechtsanwältinnen und Rechtsanwälte) lautet in den einschlägigen Absätzen:</w:t>
      </w:r>
    </w:p>
    <w:p>
      <w:pPr>
        <w:ind w:left="567"/>
      </w:pPr>
      <w:r>
        <w:rPr>
          <w:i/>
        </w:rPr>
        <w:t>(1) Rechtsanwältinnen und Rechtsanwälte begegnen einander kollegial. Die freie und unabhängige Berufsausübung verpflichtet auch im Verhältnis zu anderen Rechtsanwältinnen und Rechtsanwälten zu Fairness und Respekt.</w:t>
      </w:r>
    </w:p>
    <w:p>
      <w:pPr>
        <w:ind w:left="567"/>
      </w:pPr>
    </w:p>
    <w:p>
      <w:pPr>
        <w:ind w:left="567"/>
      </w:pPr>
      <w:r>
        <w:rPr>
          <w:i/>
        </w:rPr>
        <w:t>(2) Rechtsanwältinnen und Rechtsanwälte dürfen in der Kommunikation mit Kollegen keine Mittel einsetzen, die geeignet sind, das Vertrauen in die gemeinsame Berufsausübung zu untergraben.</w:t>
      </w:r>
    </w:p>
    <w:p>
      <w:pPr>
        <w:jc w:val="left"/>
      </w:pPr>
      <w:r>
        <w:t>Quelle: dejure.org — BORA</w:t>
      </w:r>
    </w:p>
    <w:p>
      <w:pPr>
        <w:jc w:val="left"/>
      </w:pPr>
      <w:r>
        <w:t>Die BORA wird von der Satzungsversammlung der Bundesrechtsanwaltskammer erlassen (§ 59a BRAO) und ist für alle zugelassenen Rechtsanwälte verbindlich.</w:t>
      </w:r>
    </w:p>
    <w:p/>
    <w:p>
      <w:pPr>
        <w:pStyle w:val="Heading2"/>
      </w:pPr>
      <w:r>
        <w:rPr>
          <w:rFonts w:ascii="Times New Roman" w:hAnsi="Times New Roman"/>
        </w:rPr>
        <w:t>Inhalt des Kollegialitätsgebots</w:t>
      </w:r>
    </w:p>
    <w:p>
      <w:pPr>
        <w:jc w:val="left"/>
      </w:pPr>
      <w:r>
        <w:t>Das Kollegialitätsgebot ist keine bloße Höflichkeitsnorm. Es ist vielmehr eine berufsethische Leitlinie, die konkrete Verhaltenspflichten erzeugt:</w:t>
      </w:r>
    </w:p>
    <w:p>
      <w:pPr>
        <w:pStyle w:val="Heading3"/>
      </w:pPr>
      <w:r>
        <w:rPr>
          <w:rFonts w:ascii="Times New Roman" w:hAnsi="Times New Roman"/>
        </w:rPr>
        <w:t>Positive Pflichten</w:t>
      </w:r>
    </w:p>
    <w:p>
      <w:pPr>
        <w:pStyle w:val="ListBullet"/>
      </w:pPr>
      <w:r>
        <w:rPr>
          <w:b/>
        </w:rPr>
        <w:t>Respektvolle Anrede und Sprache</w:t>
      </w:r>
      <w:r>
        <w:t xml:space="preserve"> in der gesamten schriftlichen und mündlichen Kommunikation, unabhängig von Intensität des Rechtstreits</w:t>
      </w:r>
    </w:p>
    <w:p>
      <w:pPr>
        <w:pStyle w:val="ListBullet"/>
      </w:pPr>
      <w:r>
        <w:rPr>
          <w:b/>
        </w:rPr>
        <w:t>Wahrung des Berufsgeheimnisses</w:t>
      </w:r>
      <w:r>
        <w:t xml:space="preserve"> auch gegenüber Kollegen der Gegenseite — kein Missbrauch von Informationen, die im Vertrauen mitgeteilt wurden</w:t>
      </w:r>
    </w:p>
    <w:p>
      <w:pPr>
        <w:pStyle w:val="ListBullet"/>
      </w:pPr>
      <w:r>
        <w:rPr>
          <w:b/>
        </w:rPr>
        <w:t>Verlässlichkeit bei Fristen und Zusagen:</w:t>
      </w:r>
      <w:r>
        <w:t xml:space="preserve"> Kollegial ausgehandelte Fristverlängerungen sind einzuhalten; einseitige Rücknahmen ohne triftigen Grund gelten als kollegialpflichtwidrig</w:t>
      </w:r>
    </w:p>
    <w:p>
      <w:pPr>
        <w:pStyle w:val="ListBullet"/>
      </w:pPr>
      <w:r>
        <w:rPr>
          <w:b/>
        </w:rPr>
        <w:t>Keine Umgehung des bevollmächtigten Anwalts:</w:t>
      </w:r>
      <w:r>
        <w:t xml:space="preserve"> Direktkontakt zur gegnerischen Partei ohne Zustimmung des bevollmächtigten Rechtsanwalts verstößt gegen § 12 BORA</w:t>
      </w:r>
    </w:p>
    <w:p>
      <w:pPr>
        <w:pStyle w:val="Heading3"/>
      </w:pPr>
      <w:r>
        <w:rPr>
          <w:rFonts w:ascii="Times New Roman" w:hAnsi="Times New Roman"/>
        </w:rPr>
        <w:t>Negative Pflichten</w:t>
      </w:r>
    </w:p>
    <w:p>
      <w:pPr>
        <w:pStyle w:val="ListBullet"/>
      </w:pPr>
      <w:r>
        <w:t>Kein Einsatz von Mitteln, die das Gegenüber veranlassen sollen, seine Mandanten schlecht zu beraten</w:t>
      </w:r>
    </w:p>
    <w:p>
      <w:pPr>
        <w:pStyle w:val="ListBullet"/>
      </w:pPr>
      <w:r>
        <w:t>Keine öffentliche Bloßstellung von Kollegen ohne Tatsachengrundlage</w:t>
      </w:r>
    </w:p>
    <w:p>
      <w:pPr>
        <w:pStyle w:val="ListBullet"/>
      </w:pPr>
      <w:r>
        <w:t>Keine Drohungen, die über legitimen Rechtsverfolgungsdruck hinausgehen</w:t>
      </w:r>
    </w:p>
    <w:p/>
    <w:p>
      <w:pPr>
        <w:pStyle w:val="Heading2"/>
      </w:pPr>
      <w:r>
        <w:rPr>
          <w:rFonts w:ascii="Times New Roman" w:hAnsi="Times New Roman"/>
        </w:rPr>
        <w:t>Verhältnis zu § 43a Abs. 3 BRAO</w:t>
      </w:r>
    </w:p>
    <w:p>
      <w:pPr>
        <w:jc w:val="left"/>
      </w:pPr>
      <w:r>
        <w:t>§ 2 BORA konkretisiert das Sachlichkeitsgebot des § 43a Abs. 3 BRAO für den speziellen Bereich der Kollegenkommunikation. Während § 43a Abs. 3 BRAO auch auf die Kommunikation mit Mandanten, Gerichten und anderen Dritten anwendbar ist, regelt § 2 BORA das spezifische Verhältnis zwischen Rechtsanwälten untereinander. Ein Verstoß gegen § 2 BORA kann zugleich einen Verstoß gegen § 43a Abs. 3 BRAO darstellen.</w:t>
      </w:r>
    </w:p>
    <w:p/>
    <w:p>
      <w:pPr>
        <w:pStyle w:val="Heading2"/>
      </w:pPr>
      <w:r>
        <w:rPr>
          <w:rFonts w:ascii="Times New Roman" w:hAnsi="Times New Roman"/>
        </w:rPr>
        <w:t>Fallanalyse: Kröll vs. Quistorf-Schwertmann</w:t>
      </w:r>
    </w:p>
    <w:p>
      <w:pPr>
        <w:pStyle w:val="Heading3"/>
      </w:pPr>
      <w:r>
        <w:rPr>
          <w:rFonts w:ascii="Times New Roman" w:hAnsi="Times New Roman"/>
        </w:rPr>
        <w:t>Hintergrund des Kollegialverhältnisses</w:t>
      </w:r>
    </w:p>
    <w:p>
      <w:pPr>
        <w:jc w:val="left"/>
      </w:pPr>
      <w:r>
        <w:t>RA Dr. Kröll und RA Quistorf-Schwertmann kennen sich seit über 15 Jahren aus gemeinsamer Tätigkeit in Frankfurter Gesellschaftsrechtsverfahren. Das Mandatsverfahren war zunächst von professioneller Distanz geprägt. Mit zunehmender Dauer und dem wachsenden Druck der Erbengemeinschaft Aufhauser-Trenkler hat sich das Verhältnis verschlechtert.</w:t>
      </w:r>
    </w:p>
    <w:p>
      <w:pPr>
        <w:pStyle w:val="Heading3"/>
      </w:pPr>
      <w:r>
        <w:rPr>
          <w:rFonts w:ascii="Times New Roman" w:hAnsi="Times New Roman"/>
        </w:rPr>
        <w:t>Dokumentierte Verletzungen</w:t>
      </w:r>
    </w:p>
    <w:p>
      <w:pPr>
        <w:jc w:val="left"/>
      </w:pPr>
      <w:r>
        <w:rPr>
          <w:b/>
        </w:rPr>
        <w:t>Verstoß 1 — E-Mail vom 14.02.2026, 01:47 Uhr:</w:t>
      </w:r>
    </w:p>
    <w:p>
      <w:pPr>
        <w:pStyle w:val="ListBullet"/>
      </w:pPr>
      <w:r>
        <w:t>„Ihr Verhalten ist sittenwidrig" — unzulässige Unterstellung ohne Beleg</w:t>
      </w:r>
    </w:p>
    <w:p>
      <w:pPr>
        <w:pStyle w:val="ListBullet"/>
      </w:pPr>
      <w:r>
        <w:t>„Wenn Sie nicht zahlen, ziehen wir die Insolvenz durch" — unzulässige Drohung (vgl. Aktenstück 09)</w:t>
      </w:r>
    </w:p>
    <w:p>
      <w:pPr>
        <w:pStyle w:val="ListBullet"/>
      </w:pPr>
      <w:r>
        <w:t>Nachtversand (01:47 Uhr) deutet auf emotionale Verfassung hin, die mit kollegialer Professionalität nicht vereinbar ist</w:t>
      </w:r>
    </w:p>
    <w:p>
      <w:pPr>
        <w:jc w:val="left"/>
      </w:pPr>
      <w:r>
        <w:rPr>
          <w:b/>
        </w:rPr>
        <w:t>Verstoß 2 — Telefonat Oktober 2025:</w:t>
      </w:r>
    </w:p>
    <w:p>
      <w:pPr>
        <w:jc w:val="left"/>
      </w:pPr>
      <w:r>
        <w:t>Laut Kanzleiprotokoll vom 14.10.2025 (intern) soll RA Dr. Kröll RA Quistorf-Schwertmann am Telefon als „Winkeladvokat" bezeichnet haben. Dies ist nicht schriftlich belegt, aber intern dokumentiert.</w:t>
      </w:r>
    </w:p>
    <w:p>
      <w:pPr>
        <w:pStyle w:val="Heading3"/>
      </w:pPr>
      <w:r>
        <w:rPr>
          <w:rFonts w:ascii="Times New Roman" w:hAnsi="Times New Roman"/>
        </w:rPr>
        <w:t>Reaktion der Gegenseite</w:t>
      </w:r>
    </w:p>
    <w:p>
      <w:pPr>
        <w:jc w:val="left"/>
      </w:pPr>
      <w:r>
        <w:t>RA Quistorf-Schwertmann hat mit Schreiben vom 18.02.2026 auf die E-Mail vom 14.02.2026 reagiert und ausdrücklich auf die Verletzung des Kollegialitätsgebots hingewiesen sowie die Weiterleitung an die RAK Frankfurt angekündigt. Dieses Schreiben ist in der Akte als Anlage zu EML 2026-02-14 abgeheftet.</w:t>
      </w:r>
    </w:p>
    <w:p/>
    <w:p>
      <w:pPr>
        <w:pStyle w:val="Heading2"/>
      </w:pPr>
      <w:r>
        <w:rPr>
          <w:rFonts w:ascii="Times New Roman" w:hAnsi="Times New Roman"/>
        </w:rPr>
        <w:t xml:space="preserve">Umformulierungsbedarf für das Plugin </w:t>
      </w:r>
      <w:r>
        <w:rPr>
          <w:rFonts w:ascii="Times New Roman" w:hAnsi="Times New Roman"/>
        </w:rPr>
        <w:t>email-umformulierer-berufsrecht</w:t>
      </w:r>
    </w:p>
    <w:p>
      <w:pPr>
        <w:jc w:val="left"/>
      </w:pPr>
      <w:r>
        <w:t>Kollegialpflichtverletzungen sind ein Hauptanwendungsfall des Plugins. Das Plugin erkennt:</w:t>
      </w:r>
    </w:p>
    <w:p>
      <w:pPr>
        <w:pStyle w:val="ListBullet"/>
      </w:pPr>
      <w:r>
        <w:t>Persönliche Angriffe gegen den Kollegen der Gegenseite</w:t>
      </w:r>
    </w:p>
    <w:p>
      <w:pPr>
        <w:pStyle w:val="ListBullet"/>
      </w:pPr>
      <w:r>
        <w:t>Drohungssprachliche Wendungen</w:t>
      </w:r>
    </w:p>
    <w:p>
      <w:pPr>
        <w:pStyle w:val="ListBullet"/>
      </w:pPr>
      <w:r>
        <w:t>Emotionale Übergriffigkeit (Nachtversand als Kontext-Signal)</w:t>
      </w:r>
    </w:p>
    <w:p>
      <w:pPr>
        <w:pStyle w:val="ListBullet"/>
      </w:pPr>
      <w:r>
        <w:t>Unterstellungen ohne Tatsachengrundlage</w:t>
      </w:r>
    </w:p>
    <w:p>
      <w:pPr>
        <w:jc w:val="left"/>
      </w:pPr>
      <w:r>
        <w:t>Und ersetzt diese durch:</w:t>
      </w:r>
    </w:p>
    <w:p>
      <w:pPr>
        <w:pStyle w:val="ListBullet"/>
      </w:pPr>
      <w:r>
        <w:t>Sachliche Formulierungen, die die Rechtsposition klar kommunizieren</w:t>
      </w:r>
    </w:p>
    <w:p>
      <w:pPr>
        <w:pStyle w:val="ListBullet"/>
      </w:pPr>
      <w:r>
        <w:t>Druckausübung innerhalb der Grenzen legitimer Rechtsverfolgung</w:t>
      </w:r>
    </w:p>
    <w:p>
      <w:pPr>
        <w:pStyle w:val="ListBullet"/>
      </w:pPr>
      <w:r>
        <w:t>Professionelle Distanz bei gleichzeitig klarer Botschaft</w:t>
      </w:r>
    </w:p>
    <w:p>
      <w:pPr>
        <w:pStyle w:val="ListBullet"/>
      </w:pPr>
      <w:r>
        <w:t>BORA/BRAO-konforme Sprache</w:t>
      </w:r>
    </w:p>
    <w:p>
      <w:pPr>
        <w:jc w:val="left"/>
      </w:pPr>
      <w:r>
        <w:t>Vgl. Aktenstück 06 für die Methodik der Umformulierung.</w:t>
      </w:r>
    </w:p>
    <w:p/>
    <w:p>
      <w:pPr>
        <w:pStyle w:val="Heading2"/>
      </w:pPr>
      <w:r>
        <w:rPr>
          <w:rFonts w:ascii="Times New Roman" w:hAnsi="Times New Roman"/>
        </w:rPr>
        <w:t>Quellen</w:t>
      </w:r>
    </w:p>
    <w:p>
      <w:pPr>
        <w:pStyle w:val="ListBullet"/>
      </w:pPr>
      <w:r>
        <w:t>§ 2 BORA — dejure.org</w:t>
      </w:r>
    </w:p>
    <w:p>
      <w:pPr>
        <w:pStyle w:val="ListBullet"/>
      </w:pPr>
      <w:r>
        <w:t>§ 12 BORA — dejure.org</w:t>
      </w:r>
    </w:p>
    <w:p>
      <w:pPr>
        <w:pStyle w:val="ListBullet"/>
      </w:pPr>
      <w:r>
        <w:t>§ 43a BRAO — dejure.org</w:t>
      </w:r>
    </w:p>
    <w:p>
      <w:pPr>
        <w:pStyle w:val="ListBullet"/>
      </w:pPr>
      <w:r>
        <w:t>BGH AnwSt (R) 4/10, NJW 2011, 374 — openjur.de</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