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Analyse: Emotionale E-Mail Kröll an Quistorf-Schwertmann (14.02.2026)</w:t>
      </w:r>
    </w:p>
    <w:p>
      <w:pPr>
        <w:jc w:val="left"/>
      </w:pPr>
      <w:r>
        <w:t>Linguistische und berufsrechtliche Analyse des Originalschreibens</w:t>
      </w:r>
    </w:p>
    <w:p/>
    <w:p>
      <w:pPr>
        <w:pStyle w:val="Heading2"/>
      </w:pPr>
      <w:r>
        <w:rPr>
          <w:rFonts w:ascii="Times New Roman" w:hAnsi="Times New Roman"/>
        </w:rPr>
        <w:t>Entstehungskontext</w:t>
      </w:r>
    </w:p>
    <w:p>
      <w:pPr>
        <w:jc w:val="left"/>
      </w:pPr>
      <w:r>
        <w:t>RA Dr. Volkard Kröll hat die E-Mail am 14. Februar 2026 um 01:47 Uhr von seinem privaten Laptop versandt. Dies ergibt sich aus den E-Mail-Metadaten (vgl. JPG-Screenshot, email_metadaten_screenshot.jpg): abweichende IP-Adresse (Heimanschluss Kröll, Niederrad), verwendetes E-Mail-Programm Thunderbird (im Kanzleibetrieb wird Outlook 365 genutzt). Das Schreiben ging direkt von Krölls privater Adresse (volkard.kroell@gmail.com) an die Kanzleiadresse von Quistorf-Schwertmann.</w:t>
      </w:r>
    </w:p>
    <w:p>
      <w:pPr>
        <w:pStyle w:val="Heading3"/>
      </w:pPr>
      <w:r>
        <w:rPr>
          <w:rFonts w:ascii="Times New Roman" w:hAnsi="Times New Roman"/>
        </w:rPr>
        <w:t>Auslöser</w:t>
      </w:r>
    </w:p>
    <w:p>
      <w:pPr>
        <w:jc w:val="left"/>
      </w:pPr>
      <w:r>
        <w:t>An diesem Abend hatte RA Dr. Kröll ein dreistündiges Telefonat mit Markus Trenkler geführt, in dem Trenkler massiven Druck ausgeübt und mit einer Mandatskündigung und öffentlicher Anprangerung der Kanzlei gedroht hatte. Unmittelbar danach griff Kröll zu Wein und zum Laptop.</w:t>
      </w:r>
    </w:p>
    <w:p/>
    <w:p>
      <w:pPr>
        <w:pStyle w:val="Heading2"/>
      </w:pPr>
      <w:r>
        <w:rPr>
          <w:rFonts w:ascii="Times New Roman" w:hAnsi="Times New Roman"/>
        </w:rPr>
        <w:t>Volltext der Originalfassung (anonymisiert für Akte)</w:t>
      </w:r>
    </w:p>
    <w:p>
      <w:pPr>
        <w:ind w:left="567"/>
      </w:pPr>
      <w:r>
        <w:rPr>
          <w:i/>
        </w:rPr>
        <w:t>Betreff: AW: Industriepark Rhein-Main — Ihr Verhalten ist inakzeptabel</w:t>
      </w:r>
    </w:p>
    <w:p>
      <w:pPr>
        <w:ind w:left="567"/>
      </w:pPr>
    </w:p>
    <w:p>
      <w:pPr>
        <w:ind w:left="567"/>
      </w:pPr>
      <w:r>
        <w:rPr>
          <w:i/>
        </w:rPr>
        <w:t>Sehr geehrter Herr Kollege,</w:t>
      </w:r>
    </w:p>
    <w:p>
      <w:pPr>
        <w:ind w:left="567"/>
      </w:pPr>
    </w:p>
    <w:p>
      <w:pPr>
        <w:ind w:left="567"/>
      </w:pPr>
      <w:r>
        <w:rPr>
          <w:i/>
        </w:rPr>
        <w:t>ich schreibe Ihnen jetzt um kurz vor zwei Uhr nachts, weil ich nicht schlafen kann vor Wut über das, was Sie sich in diesem Verfahren herausnehmen.</w:t>
      </w:r>
    </w:p>
    <w:p>
      <w:pPr>
        <w:ind w:left="567"/>
      </w:pPr>
    </w:p>
    <w:p>
      <w:pPr>
        <w:ind w:left="567"/>
      </w:pPr>
      <w:r>
        <w:rPr>
          <w:i/>
        </w:rPr>
        <w:t>Seit 18 Monaten hinhalten, belügen, taktieren. Das, was Sie hier machen, ist nicht Anwaltschaft, das ist Erpressung. Ihr Verhalten ist sittenwidrig und riecht nach Prozessbetrug. Das sage ich Ihnen direkt ins Gesicht, und ich werde das auch belegen.</w:t>
      </w:r>
    </w:p>
    <w:p>
      <w:pPr>
        <w:ind w:left="567"/>
      </w:pPr>
    </w:p>
    <w:p>
      <w:pPr>
        <w:ind w:left="567"/>
      </w:pPr>
      <w:r>
        <w:rPr>
          <w:i/>
        </w:rPr>
        <w:t>Wenn Sie in 34 Jahren Praxis nichts anderes gelernt haben als zu mauern, sollten Sie überlegen, ob Sie den falschen Beruf gewählt haben. Ich habe mehr als 25 Jahre Erfahrung und habe noch nie einen Kollegen erlebt, der so dreist operiert wie Sie.</w:t>
      </w:r>
    </w:p>
    <w:p>
      <w:pPr>
        <w:ind w:left="567"/>
      </w:pPr>
    </w:p>
    <w:p>
      <w:pPr>
        <w:ind w:left="567"/>
      </w:pPr>
      <w:r>
        <w:rPr>
          <w:i/>
        </w:rPr>
        <w:t>Meine Mandanten verlieren Geduld, und das zu Recht. Wenn Sie nicht bis Freitag, 28.02.2026, die Unterlagen herausgeben, ziehen wir die Insolvenz durch. Das ist kein leeres Versprechen.</w:t>
      </w:r>
    </w:p>
    <w:p>
      <w:pPr>
        <w:ind w:left="567"/>
      </w:pPr>
    </w:p>
    <w:p>
      <w:pPr>
        <w:ind w:left="567"/>
      </w:pPr>
      <w:r>
        <w:rPr>
          <w:i/>
        </w:rPr>
        <w:t>Mit kollegialen Grüßen</w:t>
      </w:r>
    </w:p>
    <w:p>
      <w:pPr>
        <w:ind w:left="567"/>
      </w:pPr>
      <w:r>
        <w:rPr>
          <w:i/>
        </w:rPr>
        <w:t>Dr. Volkard Kröll</w:t>
      </w:r>
    </w:p>
    <w:p>
      <w:pPr>
        <w:ind w:left="567"/>
      </w:pPr>
      <w:r>
        <w:rPr>
          <w:i/>
        </w:rPr>
        <w:t>Rechtsanwalt und Partner</w:t>
      </w:r>
    </w:p>
    <w:p/>
    <w:p>
      <w:pPr>
        <w:pStyle w:val="Heading2"/>
      </w:pPr>
      <w:r>
        <w:rPr>
          <w:rFonts w:ascii="Times New Roman" w:hAnsi="Times New Roman"/>
        </w:rPr>
        <w:t>Linguistische Analyse</w:t>
      </w:r>
    </w:p>
    <w:p>
      <w:pPr>
        <w:pStyle w:val="Heading3"/>
      </w:pPr>
      <w:r>
        <w:rPr>
          <w:rFonts w:ascii="Times New Roman" w:hAnsi="Times New Roman"/>
        </w:rPr>
        <w:t>Segment 1: Selbstoffenbarung emotionaler Verfassung</w:t>
      </w:r>
    </w:p>
    <w:p>
      <w:pPr>
        <w:ind w:left="567"/>
      </w:pPr>
      <w:r>
        <w:rPr>
          <w:i/>
        </w:rPr>
        <w:t>„ich schreibe Ihnen jetzt um kurz vor zwei Uhr nachts, weil ich nicht schlafen kann vor Wut"</w:t>
      </w:r>
    </w:p>
    <w:p>
      <w:pPr>
        <w:jc w:val="left"/>
      </w:pPr>
      <w:r>
        <w:rPr>
          <w:b/>
        </w:rPr>
        <w:t>Bewertung:</w:t>
      </w:r>
      <w:r>
        <w:t xml:space="preserve"> Unmittelbare Preisgabe des emotionalen Zustands. In anwaltlicher Korrespondenz inakzeptabel. Schwächt die eigene Verhandlungsposition, weil es Kontrollverlust signalisiert.</w:t>
      </w:r>
    </w:p>
    <w:p>
      <w:pPr>
        <w:pStyle w:val="Heading3"/>
      </w:pPr>
      <w:r>
        <w:rPr>
          <w:rFonts w:ascii="Times New Roman" w:hAnsi="Times New Roman"/>
        </w:rPr>
        <w:t>Segment 2: Unterstellung strafrechtlich relevanter Vorwürfe</w:t>
      </w:r>
    </w:p>
    <w:p>
      <w:pPr>
        <w:ind w:left="567"/>
      </w:pPr>
      <w:r>
        <w:rPr>
          <w:i/>
        </w:rPr>
        <w:t>„Das, was Sie hier machen, ist nicht Anwaltschaft, das ist Erpressung. Ihr Verhalten ist sittenwidrig und riecht nach Prozessbetrug."</w:t>
      </w:r>
    </w:p>
    <w:p>
      <w:pPr>
        <w:jc w:val="left"/>
      </w:pPr>
      <w:r>
        <w:rPr>
          <w:b/>
        </w:rPr>
        <w:t>Bewertung:</w:t>
      </w:r>
      <w:r>
        <w:t xml:space="preserve"> Doppelt problematisch. Erstens: „sittenwidrig" (§ 138 BGB) ist ein juristischer Terminus, der ohne Tatsachenbasis frei in der Luft hängt. Zweitens: „Prozessbetrug" ist ein strafrechtlicher Vorwurf (§ 263 StGB), der den Kollegen als potentiellen Straftäter bezeichnet. Ohne konkrete Belege ist dies ein klassischer Sachlichkeitsverstoß nach § 43a Abs. 3 BRAO und könnte seinerseits Schadensersatzansprüche (§ 823 Abs. 2 BGB i.V.m. § 185 StGB, Beleidigung) auslösen.</w:t>
      </w:r>
    </w:p>
    <w:p>
      <w:pPr>
        <w:pStyle w:val="Heading3"/>
      </w:pPr>
      <w:r>
        <w:rPr>
          <w:rFonts w:ascii="Times New Roman" w:hAnsi="Times New Roman"/>
        </w:rPr>
        <w:t>Segment 3: Persönlicher Angriff auf Berufseignung</w:t>
      </w:r>
    </w:p>
    <w:p>
      <w:pPr>
        <w:ind w:left="567"/>
      </w:pPr>
      <w:r>
        <w:rPr>
          <w:i/>
        </w:rPr>
        <w:t>„Wenn Sie in 34 Jahren Praxis nichts anderes gelernt haben als zu mauern, sollten Sie überlegen, ob Sie den falschen Beruf gewählt haben."</w:t>
      </w:r>
    </w:p>
    <w:p>
      <w:pPr>
        <w:jc w:val="left"/>
      </w:pPr>
      <w:r>
        <w:rPr>
          <w:b/>
        </w:rPr>
        <w:t>Bewertung:</w:t>
      </w:r>
      <w:r>
        <w:t xml:space="preserve"> Rein persönlicher Angriff ohne jeden rechtlichen Inhalt. Verstößt gegen § 2 BORA (Kollegialitätsgebot). Kein Beitrag zur Durchsetzung der Mandanteninteressen.</w:t>
      </w:r>
    </w:p>
    <w:p>
      <w:pPr>
        <w:pStyle w:val="Heading3"/>
      </w:pPr>
      <w:r>
        <w:rPr>
          <w:rFonts w:ascii="Times New Roman" w:hAnsi="Times New Roman"/>
        </w:rPr>
        <w:t>Segment 4: Drohung mit Insolvenzantrag</w:t>
      </w:r>
    </w:p>
    <w:p>
      <w:pPr>
        <w:ind w:left="567"/>
      </w:pPr>
      <w:r>
        <w:rPr>
          <w:i/>
        </w:rPr>
        <w:t>„Wenn Sie nicht bis Freitag, 28.02.2026, die Unterlagen herausgeben, ziehen wir die Insolvenz durch."</w:t>
      </w:r>
    </w:p>
    <w:p>
      <w:pPr>
        <w:jc w:val="left"/>
      </w:pPr>
      <w:r>
        <w:rPr>
          <w:b/>
        </w:rPr>
        <w:t>Bewertung:</w:t>
      </w:r>
      <w:r>
        <w:t xml:space="preserve"> Hier ist die Grenze zu § 240 StGB (Nötigung) möglicherweise überschritten. Die Ankündigung eines Insolvenzantrags als Druckmittel ist nur dann legal, wenn (a) ein tatsächlicher Insolvenzgrund vorliegt, (b) der Antrag tatsächlich beabsichtigt ist und (c) die Verknüpfung mit einer Geldforderung nicht als Nötigungsmittel qualifiziert wird. Vgl. Aktenstück 09.</w:t>
      </w:r>
    </w:p>
    <w:p/>
    <w:p>
      <w:pPr>
        <w:pStyle w:val="Heading2"/>
      </w:pPr>
      <w:r>
        <w:rPr>
          <w:rFonts w:ascii="Times New Roman" w:hAnsi="Times New Roman"/>
        </w:rPr>
        <w:t>Auswirkungen auf das Mandatsverhältnis</w:t>
      </w:r>
    </w:p>
    <w:p>
      <w:pPr>
        <w:pStyle w:val="ListNumber"/>
      </w:pPr>
      <w:r>
        <w:rPr>
          <w:b/>
        </w:rPr>
        <w:t>Eigengefährdung des Mandats:</w:t>
      </w:r>
      <w:r>
        <w:t xml:space="preserve"> Die E-Mail hat RA Quistorf-Schwertmann einen Anlass gegeben, seinerseits bei der RAK Frankfurt Beschwerde einzureichen, was die Verhandlungsposition der Erbengemeinschaft geschwächt hat.</w:t>
      </w:r>
    </w:p>
    <w:p>
      <w:pPr>
        <w:pStyle w:val="ListNumber"/>
      </w:pPr>
      <w:r>
        <w:rPr>
          <w:b/>
        </w:rPr>
        <w:t>Vertrauensverlust beim Mandanten:</w:t>
      </w:r>
      <w:r>
        <w:t xml:space="preserve"> Als Markus Trenkler von der Beschwerde der RAK erfuhr (über undichte Stellen — unklar wie), intensivierte er seinen Druck auf die Kanzlei.</w:t>
      </w:r>
    </w:p>
    <w:p>
      <w:pPr>
        <w:pStyle w:val="ListNumber"/>
      </w:pPr>
      <w:r>
        <w:rPr>
          <w:b/>
        </w:rPr>
        <w:t>Plugin-Anwendungsfall:</w:t>
      </w:r>
      <w:r>
        <w:t xml:space="preserve"> Version 3 der Umformulierung (EML 2026-02-14, Umformulierung) zeigt, wie das Plugin </w:t>
      </w:r>
      <w:r>
        <w:t>email-umformulierer-berufsrecht</w:t>
      </w:r>
      <w:r>
        <w:t xml:space="preserve"> die problematischen Segmente entschärft hat — jedoch wurde diese Version nicht mehr versandt, da die Originalversion bereits abgeschickt worden war.</w:t>
      </w:r>
    </w:p>
    <w:p/>
    <w:p>
      <w:pPr>
        <w:pStyle w:val="Heading2"/>
      </w:pPr>
      <w:r>
        <w:rPr>
          <w:rFonts w:ascii="Times New Roman" w:hAnsi="Times New Roman"/>
        </w:rPr>
        <w:t>Empfehlung</w:t>
      </w:r>
    </w:p>
    <w:p>
      <w:pPr>
        <w:jc w:val="left"/>
      </w:pPr>
      <w:r>
        <w:t>RA Dr. Kröll hat im Nachgang ein E-Mail-Versandsperrprotokoll für nächtliche Stunden (22:00 bis 07:00 Uhr) eingeführt. Vgl. Aktenstück 16 (E-Mail-Systeme und Outlook-Audit).</w:t>
      </w:r>
    </w:p>
    <w:p/>
    <w:p>
      <w:pPr>
        <w:jc w:val="left"/>
      </w:pPr>
      <w:r>
        <w:t>Bearbeitungsstand: 22.04.2026 — RAin Yvonne Tannenkamp</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