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Anwaltsbeleidigung — § 185 StGB und Grenzen der Meinungsfreiheit</w:t>
      </w:r>
    </w:p>
    <w:p>
      <w:pPr>
        <w:jc w:val="left"/>
      </w:pPr>
      <w:r>
        <w:t>Strafrechtliche Einordnung der Formulierungen im Kanzleistreit</w:t>
      </w:r>
    </w:p>
    <w:p/>
    <w:p>
      <w:pPr>
        <w:pStyle w:val="Heading2"/>
      </w:pPr>
      <w:r>
        <w:rPr>
          <w:rFonts w:ascii="Times New Roman" w:hAnsi="Times New Roman"/>
        </w:rPr>
        <w:t>Gesetzestext</w:t>
      </w:r>
    </w:p>
    <w:p>
      <w:pPr>
        <w:jc w:val="left"/>
      </w:pPr>
      <w:r>
        <w:t>§ 185 StGB (Beleidigung):</w:t>
      </w:r>
    </w:p>
    <w:p>
      <w:pPr>
        <w:ind w:left="567"/>
      </w:pPr>
      <w:r>
        <w:rPr>
          <w:i/>
        </w:rPr>
        <w:t>Die Beleidigung wird mit Freiheitsstrafe bis zu einem Jahr oder mit Geldstrafe und, wenn die Beleidigung öffentlich, in einer Versammlung, durch Verbreiten eines Inhalts (§ 11 Absatz 3) oder mittels einer Tätlichkeit begangen wird, mit Freiheitsstrafe bis zu zwei Jahren oder mit Geldstrafe bestraft.</w:t>
      </w:r>
    </w:p>
    <w:p>
      <w:pPr>
        <w:jc w:val="left"/>
      </w:pPr>
      <w:r>
        <w:t>Quelle: dejure.org — § 185 StGB</w:t>
      </w:r>
    </w:p>
    <w:p/>
    <w:p>
      <w:pPr>
        <w:pStyle w:val="Heading2"/>
      </w:pPr>
      <w:r>
        <w:rPr>
          <w:rFonts w:ascii="Times New Roman" w:hAnsi="Times New Roman"/>
        </w:rPr>
        <w:t>Anwendungsbereich im anwaltlichen Kontext</w:t>
      </w:r>
    </w:p>
    <w:p>
      <w:pPr>
        <w:jc w:val="left"/>
      </w:pPr>
      <w:r>
        <w:t>Rechtsanwälte können sich sowohl als Täter als auch als Geschädigte einer Beleidigung gegenüberstehen. Gerade im Kontext hitziger Kollegenkorrespondenz ist § 185 StGB ein unterschätztes Risiko. Die Strafverfolgung setzt einen Strafantrag des Verletzten voraus (§ 194 StGB), es sei denn, ein besonderes öffentliches Interesse liegt vor.</w:t>
      </w:r>
    </w:p>
    <w:p/>
    <w:p>
      <w:pPr>
        <w:pStyle w:val="Heading2"/>
      </w:pPr>
      <w:r>
        <w:rPr>
          <w:rFonts w:ascii="Times New Roman" w:hAnsi="Times New Roman"/>
        </w:rPr>
        <w:t>Tatbestandsvoraussetzungen</w:t>
      </w:r>
    </w:p>
    <w:p>
      <w:pPr>
        <w:pStyle w:val="Heading3"/>
      </w:pPr>
      <w:r>
        <w:rPr>
          <w:rFonts w:ascii="Times New Roman" w:hAnsi="Times New Roman"/>
        </w:rPr>
        <w:t>Beleidigung als Ehrverletzung</w:t>
      </w:r>
    </w:p>
    <w:p>
      <w:pPr>
        <w:jc w:val="left"/>
      </w:pPr>
      <w:r>
        <w:t>Eine Beleidigung setzt voraus:</w:t>
      </w:r>
    </w:p>
    <w:p>
      <w:pPr>
        <w:pStyle w:val="ListNumber"/>
      </w:pPr>
      <w:r>
        <w:t>Eine Kundgabe der Missachtung oder Nichtachtung gegenüber einer anderen Person</w:t>
      </w:r>
    </w:p>
    <w:p>
      <w:pPr>
        <w:pStyle w:val="ListNumber"/>
      </w:pPr>
      <w:r>
        <w:t>Diese Kundgabe muss in einer Form erfolgen, die die persönliche Ehre tangiert</w:t>
      </w:r>
    </w:p>
    <w:p>
      <w:pPr>
        <w:pStyle w:val="ListNumber"/>
      </w:pPr>
      <w:r>
        <w:t>Die Äußerung muss von einem Dritten wahrgenommen werden (oder jedenfalls zur Kenntnisnahme bestimmt sein)</w:t>
      </w:r>
    </w:p>
    <w:p>
      <w:pPr>
        <w:pStyle w:val="Heading3"/>
      </w:pPr>
      <w:r>
        <w:rPr>
          <w:rFonts w:ascii="Times New Roman" w:hAnsi="Times New Roman"/>
        </w:rPr>
        <w:t>Abgrenzung: Tatsachenbehauptung vs. Werturteil</w:t>
      </w:r>
    </w:p>
    <w:p>
      <w:pPr>
        <w:jc w:val="left"/>
      </w:pPr>
      <w:r>
        <w:t xml:space="preserve">Bei </w:t>
      </w:r>
      <w:r>
        <w:rPr>
          <w:b/>
        </w:rPr>
        <w:t>Tatsachenbehauptungen</w:t>
      </w:r>
      <w:r>
        <w:t xml:space="preserve"> (objektiv nachprüfbar) kommt neben § 185 StGB auch §§ 186, 187 StGB (üble Nachrede, Verleumdung) in Betracht. Bei </w:t>
      </w:r>
      <w:r>
        <w:rPr>
          <w:b/>
        </w:rPr>
        <w:t>Werturteilen</w:t>
      </w:r>
      <w:r>
        <w:t xml:space="preserve"> (nicht nachprüfbar, subjektive Bewertung) greift primär § 185 StGB.</w:t>
      </w:r>
    </w:p>
    <w:p>
      <w:pPr>
        <w:jc w:val="left"/>
      </w:pPr>
      <w:r>
        <w:t>Die Aussage „riecht nach Prozessbetrug" ist eine wertende Tatsachenbehauptung: die Grundlage ist behaupteter (aber nicht belegter) Sachverhalt, der rechtlich qualifiziert wird. Dies kann § 186 StGB (üble Nachrede) erfüllen, wenn die Behauptung nicht nachweisbar wahr ist.</w:t>
      </w:r>
    </w:p>
    <w:p/>
    <w:p>
      <w:pPr>
        <w:pStyle w:val="Heading2"/>
      </w:pPr>
      <w:r>
        <w:rPr>
          <w:rFonts w:ascii="Times New Roman" w:hAnsi="Times New Roman"/>
        </w:rPr>
        <w:t>Analyse der konkreten Aussagen</w:t>
      </w:r>
    </w:p>
    <w:p>
      <w:pPr>
        <w:pStyle w:val="Heading3"/>
      </w:pPr>
      <w:r>
        <w:rPr>
          <w:rFonts w:ascii="Times New Roman" w:hAnsi="Times New Roman"/>
        </w:rPr>
        <w:t>„Ihr Verhalten ist sittenwidrig und riecht nach Prozessbetrug"</w:t>
      </w:r>
    </w:p>
    <w:p>
      <w:pPr>
        <w:jc w:val="left"/>
      </w:pPr>
      <w:r>
        <w:rPr>
          <w:b/>
        </w:rPr>
        <w:t>Strafrechtliche Einordnung:</w:t>
      </w:r>
      <w:r>
        <w:t xml:space="preserve"> Die Aussage enthält sowohl ein Werturteil (sittenwidrig) als auch eine implizite Tatsachenbehauptung (Prozessbetrug als tatsächliches Verhalten). Als E-Mail an einen Dritten versandt, ist das Merkmal der Kundgabe erfüllt. RA Quistorf-Schwertmann könnte Strafantrag stellen.</w:t>
      </w:r>
    </w:p>
    <w:p>
      <w:pPr>
        <w:jc w:val="left"/>
      </w:pPr>
      <w:r>
        <w:rPr>
          <w:b/>
        </w:rPr>
        <w:t>Verteidigung:</w:t>
      </w:r>
      <w:r>
        <w:t xml:space="preserve"> Die Berufung auf Art. 5 GG (Meinungsfreiheit) greift, wenn die Aussage als Werturteil im Kontext des Rechtsstreits erkennbar ist. Der BGH hat in mehreren Entscheidungen klargestellt, dass anwaltliche Schriftsätze einen erhöhten Schutz genießen, wenn sie der sachgerechten Interessenwahrnehmung dienen (BGH, Urteil vom 28.07.2015, VI ZR 340/14, openjur.de).</w:t>
      </w:r>
    </w:p>
    <w:p>
      <w:pPr>
        <w:jc w:val="left"/>
      </w:pPr>
      <w:r>
        <w:rPr>
          <w:b/>
        </w:rPr>
        <w:t>Hier jedoch:</w:t>
      </w:r>
      <w:r>
        <w:t xml:space="preserve"> Die E-Mail ist keine anwaltliche Zuschrift im Verfahrenssinne, sondern eine private Nachricht. Sie trägt nicht das Kanzleimemoryformat und wurde von privater E-Mail-Adresse versandt. Die Verfahrensprivilegierung greift damit möglicherweise nicht vollständig.</w:t>
      </w:r>
    </w:p>
    <w:p>
      <w:pPr>
        <w:pStyle w:val="Heading3"/>
      </w:pPr>
      <w:r>
        <w:rPr>
          <w:rFonts w:ascii="Times New Roman" w:hAnsi="Times New Roman"/>
        </w:rPr>
        <w:t>„Winkeladvokat" (Telefonatszitat, Oktober 2025)</w:t>
      </w:r>
    </w:p>
    <w:p>
      <w:pPr>
        <w:jc w:val="left"/>
      </w:pPr>
      <w:r>
        <w:rPr>
          <w:b/>
        </w:rPr>
        <w:t>Strafrechtliche Einordnung:</w:t>
      </w:r>
      <w:r>
        <w:t xml:space="preserve"> Der Begriff „Winkeladvokat" ist ein klassisches Schimpfwort für einen unqualifizierten oder betrügerischen Anwalt. Angesichts der 34-jährigen Berufszulassung von RA Quistorf-Schwertmann ist die Herabsetzung evident. Beleidigungsqualität ist wahrscheinlich. Da das Telefonat ohne Zeugen erfolgte und nicht aufgezeichnet ist, bestehen Beweisschwierigkeiten.</w:t>
      </w:r>
    </w:p>
    <w:p/>
    <w:p>
      <w:pPr>
        <w:pStyle w:val="Heading2"/>
      </w:pPr>
      <w:r>
        <w:rPr>
          <w:rFonts w:ascii="Times New Roman" w:hAnsi="Times New Roman"/>
        </w:rPr>
        <w:t>Rechtsprechungsüberblick</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Entscheidung</w:t>
            </w:r>
          </w:p>
        </w:tc>
        <w:tc>
          <w:tcPr>
            <w:tcW w:type="dxa" w:w="3024"/>
          </w:tcPr>
          <w:p>
            <w:r>
              <w:rPr>
                <w:rFonts w:ascii="Times New Roman" w:hAnsi="Times New Roman"/>
                <w:b/>
                <w:sz w:val="20"/>
              </w:rPr>
              <w:t>Inhalt</w:t>
            </w:r>
          </w:p>
        </w:tc>
        <w:tc>
          <w:tcPr>
            <w:tcW w:type="dxa" w:w="3024"/>
          </w:tcPr>
          <w:p>
            <w:r>
              <w:rPr>
                <w:rFonts w:ascii="Times New Roman" w:hAnsi="Times New Roman"/>
                <w:b/>
                <w:sz w:val="20"/>
              </w:rPr>
              <w:t>Ergebnis</w:t>
            </w:r>
          </w:p>
        </w:tc>
      </w:tr>
      <w:tr>
        <w:tc>
          <w:tcPr>
            <w:tcW w:type="dxa" w:w="3024"/>
          </w:tcPr>
          <w:p>
            <w:r>
              <w:rPr>
                <w:rFonts w:ascii="Times New Roman" w:hAnsi="Times New Roman"/>
                <w:sz w:val="20"/>
              </w:rPr>
              <w:t>BGH, NJW 1999, 1257</w:t>
            </w:r>
          </w:p>
        </w:tc>
        <w:tc>
          <w:tcPr>
            <w:tcW w:type="dxa" w:w="3024"/>
          </w:tcPr>
          <w:p>
            <w:r>
              <w:rPr>
                <w:rFonts w:ascii="Times New Roman" w:hAnsi="Times New Roman"/>
                <w:sz w:val="20"/>
              </w:rPr>
              <w:t>Beleidigung im anwaltlichen Schriftsatz — Interessenabwägung</w:t>
            </w:r>
          </w:p>
        </w:tc>
        <w:tc>
          <w:tcPr>
            <w:tcW w:type="dxa" w:w="3024"/>
          </w:tcPr>
          <w:p>
            <w:r>
              <w:rPr>
                <w:rFonts w:ascii="Times New Roman" w:hAnsi="Times New Roman"/>
                <w:sz w:val="20"/>
              </w:rPr>
              <w:t>Verfahrensprivileg anerkannt</w:t>
            </w:r>
          </w:p>
        </w:tc>
      </w:tr>
      <w:tr>
        <w:tc>
          <w:tcPr>
            <w:tcW w:type="dxa" w:w="3024"/>
          </w:tcPr>
          <w:p>
            <w:r>
              <w:rPr>
                <w:rFonts w:ascii="Times New Roman" w:hAnsi="Times New Roman"/>
                <w:sz w:val="20"/>
              </w:rPr>
              <w:t>BGH, NJW 2006, 1136</w:t>
            </w:r>
          </w:p>
        </w:tc>
        <w:tc>
          <w:tcPr>
            <w:tcW w:type="dxa" w:w="3024"/>
          </w:tcPr>
          <w:p>
            <w:r>
              <w:rPr>
                <w:rFonts w:ascii="Times New Roman" w:hAnsi="Times New Roman"/>
                <w:sz w:val="20"/>
              </w:rPr>
              <w:t>Scharfe Kritik am Kollegen — § 185 StGB vs. § 43a BRAO</w:t>
            </w:r>
          </w:p>
        </w:tc>
        <w:tc>
          <w:tcPr>
            <w:tcW w:type="dxa" w:w="3024"/>
          </w:tcPr>
          <w:p>
            <w:r>
              <w:rPr>
                <w:rFonts w:ascii="Times New Roman" w:hAnsi="Times New Roman"/>
                <w:sz w:val="20"/>
              </w:rPr>
              <w:t>Differenzierung zwischen Sachkritik und Persönlichkeitsangriff</w:t>
            </w:r>
          </w:p>
        </w:tc>
      </w:tr>
      <w:tr>
        <w:tc>
          <w:tcPr>
            <w:tcW w:type="dxa" w:w="3024"/>
          </w:tcPr>
          <w:p>
            <w:r>
              <w:rPr>
                <w:rFonts w:ascii="Times New Roman" w:hAnsi="Times New Roman"/>
                <w:sz w:val="20"/>
              </w:rPr>
              <w:t>OLG Frankfurt, Urteil v. 12.04.2018 — 16 U 16/17</w:t>
            </w:r>
          </w:p>
        </w:tc>
        <w:tc>
          <w:tcPr>
            <w:tcW w:type="dxa" w:w="3024"/>
          </w:tcPr>
          <w:p>
            <w:r>
              <w:rPr>
                <w:rFonts w:ascii="Times New Roman" w:hAnsi="Times New Roman"/>
                <w:sz w:val="20"/>
              </w:rPr>
              <w:t>E-Mail-Beleidigung unter Kollegen</w:t>
            </w:r>
          </w:p>
        </w:tc>
        <w:tc>
          <w:tcPr>
            <w:tcW w:type="dxa" w:w="3024"/>
          </w:tcPr>
          <w:p>
            <w:r>
              <w:rPr>
                <w:rFonts w:ascii="Times New Roman" w:hAnsi="Times New Roman"/>
                <w:sz w:val="20"/>
              </w:rPr>
              <w:t>Schadensersatz nach § 823 Abs. 2 BGB i.V.m. § 185 StGB</w:t>
            </w:r>
          </w:p>
        </w:tc>
      </w:tr>
    </w:tbl>
    <w:p>
      <w:pPr>
        <w:jc w:val="left"/>
      </w:pPr>
      <w:r>
        <w:t>Quelle: openjur.de</w:t>
      </w:r>
    </w:p>
    <w:p/>
    <w:p>
      <w:pPr>
        <w:pStyle w:val="Heading2"/>
      </w:pPr>
      <w:r>
        <w:rPr>
          <w:rFonts w:ascii="Times New Roman" w:hAnsi="Times New Roman"/>
        </w:rPr>
        <w:t>Praktische Konsequenzen für die Kanzlei Rosenmühle</w:t>
      </w:r>
    </w:p>
    <w:p>
      <w:pPr>
        <w:pStyle w:val="ListNumber"/>
      </w:pPr>
      <w:r>
        <w:t>RA Quistorf-Schwertmann hat bisher keinen Strafantrag gestellt; nach Aktenlage ist er damit zufrieden, die Beschwerdeführung bei der RAK als Druckmittel zu nutzen.</w:t>
      </w:r>
    </w:p>
    <w:p>
      <w:pPr>
        <w:pStyle w:val="ListNumber"/>
      </w:pPr>
      <w:r>
        <w:t>Die Kanzlei Rosenmühle hat RA Dr. Kröll intern geraten, sich gegenüber RA Quistorf-Schwertmann schriftlich zu entschuldigen — was Kröll abgelehnt hat.</w:t>
      </w:r>
    </w:p>
    <w:p>
      <w:pPr>
        <w:pStyle w:val="ListNumber"/>
      </w:pPr>
      <w:r>
        <w:t xml:space="preserve">Das Plugin </w:t>
      </w:r>
      <w:r>
        <w:t>email-umformulierer-berufsrecht</w:t>
      </w:r>
      <w:r>
        <w:t xml:space="preserve"> hätte durch frühzeitige Markierung der Segmente eine erzwungene Reflexionspause eingeleitet.</w:t>
      </w:r>
    </w:p>
    <w:p/>
    <w:p>
      <w:pPr>
        <w:pStyle w:val="Heading2"/>
      </w:pPr>
      <w:r>
        <w:rPr>
          <w:rFonts w:ascii="Times New Roman" w:hAnsi="Times New Roman"/>
        </w:rPr>
        <w:t>Quellen</w:t>
      </w:r>
    </w:p>
    <w:p>
      <w:pPr>
        <w:pStyle w:val="ListBullet"/>
      </w:pPr>
      <w:r>
        <w:t>§ 185 StGB — dejure.org</w:t>
      </w:r>
    </w:p>
    <w:p>
      <w:pPr>
        <w:pStyle w:val="ListBullet"/>
      </w:pPr>
      <w:r>
        <w:t>§ 186 StGB — dejure.org</w:t>
      </w:r>
    </w:p>
    <w:p>
      <w:pPr>
        <w:pStyle w:val="ListBullet"/>
      </w:pPr>
      <w:r>
        <w:t>§ 194 StGB — dejure.org</w:t>
      </w:r>
    </w:p>
    <w:p>
      <w:pPr>
        <w:pStyle w:val="ListBullet"/>
      </w:pPr>
      <w:r>
        <w:t>BGH VI ZR 340/14 — openjur.de</w:t>
      </w:r>
    </w:p>
    <w:p/>
    <w:p>
      <w:pPr>
        <w:jc w:val="left"/>
      </w:pPr>
      <w:r>
        <w:t>Bearbeitungsstand: 22.04.2026 — RAin Yvonne Tannenkamp</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