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Meinungsfreiheit — Art. 5 GG und kontextuelle Grenzen im Anwaltsberuf</w:t>
      </w:r>
    </w:p>
    <w:p>
      <w:pPr>
        <w:jc w:val="left"/>
      </w:pPr>
      <w:r>
        <w:t>Verfassungsrechtliche Dimension der anwaltlichen Sachlichkeitspflicht</w:t>
      </w:r>
    </w:p>
    <w:p/>
    <w:p>
      <w:pPr>
        <w:pStyle w:val="Heading2"/>
      </w:pPr>
      <w:r>
        <w:rPr>
          <w:rFonts w:ascii="Times New Roman" w:hAnsi="Times New Roman"/>
        </w:rPr>
        <w:t>Grundsatz</w:t>
      </w:r>
    </w:p>
    <w:p>
      <w:pPr>
        <w:jc w:val="left"/>
      </w:pPr>
      <w:r>
        <w:t>Art. 5 Abs. 1 GG schützt die freie Meinungsäußerung. Für Rechtsanwälte gilt dieser Schutz uneingeschränkt, ist jedoch durch Art. 5 Abs. 2 GG und das einfache Gesetz — insbesondere die allgemeinen Gesetze (§ 43a BRAO, §§ 185 ff. StGB, BORA) — eingeschränkt.</w:t>
      </w:r>
    </w:p>
    <w:p>
      <w:pPr>
        <w:jc w:val="left"/>
      </w:pPr>
      <w:r>
        <w:t>Quelle: Grundgesetz, Art. 5, dejure.org</w:t>
      </w:r>
    </w:p>
    <w:p>
      <w:pPr>
        <w:jc w:val="left"/>
      </w:pPr>
      <w:r>
        <w:t>Das Bundesverfassungsgericht hat wiederholt betont, dass anwaltliche Äußerungen in einem Spannungsfeld zwischen der Berufsausübungsfreiheit (Art. 12 GG) und der Ehrenschutznorm (§§ 185 ff. StGB) stehen (BVerfG, Beschluss v. 11.04.2006, 1 BvR 20/05, openjur.de).</w:t>
      </w:r>
    </w:p>
    <w:p/>
    <w:p>
      <w:pPr>
        <w:pStyle w:val="Heading2"/>
      </w:pPr>
      <w:r>
        <w:rPr>
          <w:rFonts w:ascii="Times New Roman" w:hAnsi="Times New Roman"/>
        </w:rPr>
        <w:t>Das Verfahrensprivileg</w:t>
      </w:r>
    </w:p>
    <w:p>
      <w:pPr>
        <w:pStyle w:val="Heading3"/>
      </w:pPr>
      <w:r>
        <w:rPr>
          <w:rFonts w:ascii="Times New Roman" w:hAnsi="Times New Roman"/>
        </w:rPr>
        <w:t>Inhalt</w:t>
      </w:r>
    </w:p>
    <w:p>
      <w:pPr>
        <w:jc w:val="left"/>
      </w:pPr>
      <w:r>
        <w:t>Rechtsanwälte genießen innerhalb von Gerichtsverfahren einen erhöhten Schutz ihrer Meinungsäußerungen. Aussagen in Schriftsätzen, die der sachlichen Interessenwahrnehmung des Mandanten dienen, sind grundsätzlich privilegiert — auch wenn sie scharf oder polemisch formuliert sind.</w:t>
      </w:r>
    </w:p>
    <w:p>
      <w:pPr>
        <w:jc w:val="left"/>
      </w:pPr>
      <w:r>
        <w:t>Maßgeblich sind:</w:t>
      </w:r>
    </w:p>
    <w:p>
      <w:pPr>
        <w:pStyle w:val="ListBullet"/>
      </w:pPr>
      <w:r>
        <w:t>Die Aussage muss im Kontext des Verfahrens stehen</w:t>
      </w:r>
    </w:p>
    <w:p>
      <w:pPr>
        <w:pStyle w:val="ListBullet"/>
      </w:pPr>
      <w:r>
        <w:t>Sie muss erkennbar der Interessenwahrnehmung dienen, nicht der privaten Abrechnung</w:t>
      </w:r>
    </w:p>
    <w:p>
      <w:pPr>
        <w:pStyle w:val="ListBullet"/>
      </w:pPr>
      <w:r>
        <w:t>Sie darf nicht wissentlich falsch sein</w:t>
      </w:r>
    </w:p>
    <w:p>
      <w:pPr>
        <w:pStyle w:val="Heading3"/>
      </w:pPr>
      <w:r>
        <w:rPr>
          <w:rFonts w:ascii="Times New Roman" w:hAnsi="Times New Roman"/>
        </w:rPr>
        <w:t>Grenzen des Verfahrensprivilegs</w:t>
      </w:r>
    </w:p>
    <w:p>
      <w:pPr>
        <w:jc w:val="left"/>
      </w:pPr>
      <w:r>
        <w:t xml:space="preserve">Das Verfahrensprivileg gilt </w:t>
      </w:r>
      <w:r>
        <w:rPr>
          <w:b/>
        </w:rPr>
        <w:t>nicht</w:t>
      </w:r>
      <w:r>
        <w:t xml:space="preserve"> für:</w:t>
      </w:r>
    </w:p>
    <w:p>
      <w:pPr>
        <w:pStyle w:val="ListBullet"/>
      </w:pPr>
      <w:r>
        <w:t>Äußerungen, die außerhalb des Schriftsatzes (z.B. in Privatmails) erfolgen</w:t>
      </w:r>
    </w:p>
    <w:p>
      <w:pPr>
        <w:pStyle w:val="ListBullet"/>
      </w:pPr>
      <w:r>
        <w:t>Äußerungen, die offensichtlich keinen Bezug zur Sache haben (reine Schmähkritik)</w:t>
      </w:r>
    </w:p>
    <w:p>
      <w:pPr>
        <w:pStyle w:val="ListBullet"/>
      </w:pPr>
      <w:r>
        <w:t>Äußerungen, die gegenüber Dritten ohne Verfahrensbezug erfolgen</w:t>
      </w:r>
    </w:p>
    <w:p/>
    <w:p>
      <w:pPr>
        <w:pStyle w:val="Heading2"/>
      </w:pPr>
      <w:r>
        <w:rPr>
          <w:rFonts w:ascii="Times New Roman" w:hAnsi="Times New Roman"/>
        </w:rPr>
        <w:t>Schmähkritik als Grenze</w:t>
      </w:r>
    </w:p>
    <w:p>
      <w:pPr>
        <w:jc w:val="left"/>
      </w:pPr>
      <w:r>
        <w:t>Das Bundesverfassungsgericht unterscheidet zwischen zulässiger Kritik — auch drastischer Art — und unzulässiger Schmähkritik:</w:t>
      </w:r>
    </w:p>
    <w:p>
      <w:pPr>
        <w:ind w:left="567"/>
      </w:pPr>
      <w:r>
        <w:rPr>
          <w:i/>
        </w:rPr>
        <w:t>Eine Äußerung nimmt den Charakter einer Schmähung an, wenn in ihr nicht mehr die Auseinandersetzung in der Sache, sondern die Diffamierung der Person im Vordergrund steht.</w:t>
      </w:r>
    </w:p>
    <w:p>
      <w:pPr>
        <w:jc w:val="left"/>
      </w:pPr>
      <w:r>
        <w:t>BVerfGE 82, 272 (284); vgl. openjur.de</w:t>
      </w:r>
    </w:p>
    <w:p>
      <w:pPr>
        <w:jc w:val="left"/>
      </w:pPr>
      <w:r>
        <w:rPr>
          <w:b/>
        </w:rPr>
        <w:t>Anwendung:</w:t>
      </w:r>
      <w:r>
        <w:t xml:space="preserve"> Die Aussage „sollten Sie überlegen, ob Sie den falschen Beruf gewählt haben" ist Schmähkritik im Sinne dieser Rechtsprechung. Es fehlt jeder Sachbezug. Die Aussage stellt ausschließlich die Persönlichkeit von RA Quistorf-Schwertmann in Frage.</w:t>
      </w:r>
    </w:p>
    <w:p/>
    <w:p>
      <w:pPr>
        <w:pStyle w:val="Heading2"/>
      </w:pPr>
      <w:r>
        <w:rPr>
          <w:rFonts w:ascii="Times New Roman" w:hAnsi="Times New Roman"/>
        </w:rPr>
        <w:t>Art. 12 GG — Berufsausübungsfreiheit des Rechtsanwalts</w:t>
      </w:r>
    </w:p>
    <w:p>
      <w:pPr>
        <w:jc w:val="left"/>
      </w:pPr>
      <w:r>
        <w:t>Rechtsanwälte üben einen freien Beruf aus. Die Pflicht zur Sachlichkeit (§ 43a Abs. 3 BRAO) ist eine gesetzlich vorgesehene Berufsausübungsregelung, die das Bundesverfassungsgericht als verhältnismäßig anerkannt hat (BVerfG, 1 BvR 2335/95). Die Sachlichkeitspflicht verhindert keine wirksame Mandatsvertretung, sondern kanalisiert die Kommunikationsform.</w:t>
      </w:r>
    </w:p>
    <w:p>
      <w:pPr>
        <w:jc w:val="left"/>
      </w:pPr>
      <w:r>
        <w:t xml:space="preserve">Das Plugin </w:t>
      </w:r>
      <w:r>
        <w:t>email-umformulierer-berufsrecht</w:t>
      </w:r>
      <w:r>
        <w:t xml:space="preserve"> operiert genau in diesem Raum: Es schränkt den Inhalt der Botschaft nicht ein, sondern passt die Form an, damit die Botschaft rechtssicher gesendet werden kann.</w:t>
      </w:r>
    </w:p>
    <w:p/>
    <w:p>
      <w:pPr>
        <w:pStyle w:val="Heading2"/>
      </w:pPr>
      <w:r>
        <w:rPr>
          <w:rFonts w:ascii="Times New Roman" w:hAnsi="Times New Roman"/>
        </w:rPr>
        <w:t>Schutz kollegialer Kommunikation</w:t>
      </w:r>
    </w:p>
    <w:p>
      <w:pPr>
        <w:jc w:val="left"/>
      </w:pPr>
      <w:r>
        <w:t>Die Frage, ob interne kollegiale E-Mails zwischen Anwälten denselben Schutz genießen wie Gerichtsschriftsätze, ist nicht abschließend höchstrichterlich geklärt. Tendenziell wird ein erhöhter Schutz für formelle Korrespondenz im Verfahrenskontext (Schriftsätze, Protokollvermerke) angenommen, während informelle Kommunikation (private E-Mail-Adresse, Nachtversand) eher den allgemeinen Maßstäben unterliegt.</w:t>
      </w:r>
    </w:p>
    <w:p/>
    <w:p>
      <w:pPr>
        <w:pStyle w:val="Heading2"/>
      </w:pPr>
      <w:r>
        <w:rPr>
          <w:rFonts w:ascii="Times New Roman" w:hAnsi="Times New Roman"/>
        </w:rPr>
        <w:t>Konsequenzen für die Praxis</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Äußerungstyp</w:t>
            </w:r>
          </w:p>
        </w:tc>
        <w:tc>
          <w:tcPr>
            <w:tcW w:type="dxa" w:w="3024"/>
          </w:tcPr>
          <w:p>
            <w:r>
              <w:rPr>
                <w:rFonts w:ascii="Times New Roman" w:hAnsi="Times New Roman"/>
                <w:b/>
                <w:sz w:val="20"/>
              </w:rPr>
              <w:t>Schutzstatus</w:t>
            </w:r>
          </w:p>
        </w:tc>
        <w:tc>
          <w:tcPr>
            <w:tcW w:type="dxa" w:w="3024"/>
          </w:tcPr>
          <w:p>
            <w:r>
              <w:rPr>
                <w:rFonts w:ascii="Times New Roman" w:hAnsi="Times New Roman"/>
                <w:b/>
                <w:sz w:val="20"/>
              </w:rPr>
              <w:t>Sachlichkeitspflicht</w:t>
            </w:r>
          </w:p>
        </w:tc>
      </w:tr>
      <w:tr>
        <w:tc>
          <w:tcPr>
            <w:tcW w:type="dxa" w:w="3024"/>
          </w:tcPr>
          <w:p>
            <w:r>
              <w:rPr>
                <w:rFonts w:ascii="Times New Roman" w:hAnsi="Times New Roman"/>
                <w:sz w:val="20"/>
              </w:rPr>
              <w:t>Gerichtsschriftsatz — sachliche Kritik</w:t>
            </w:r>
          </w:p>
        </w:tc>
        <w:tc>
          <w:tcPr>
            <w:tcW w:type="dxa" w:w="3024"/>
          </w:tcPr>
          <w:p>
            <w:r>
              <w:rPr>
                <w:rFonts w:ascii="Times New Roman" w:hAnsi="Times New Roman"/>
                <w:sz w:val="20"/>
              </w:rPr>
              <w:t>Hohes Schutzniveau (Art. 5, Art. 12 GG)</w:t>
            </w:r>
          </w:p>
        </w:tc>
        <w:tc>
          <w:tcPr>
            <w:tcW w:type="dxa" w:w="3024"/>
          </w:tcPr>
          <w:p>
            <w:r>
              <w:rPr>
                <w:rFonts w:ascii="Times New Roman" w:hAnsi="Times New Roman"/>
                <w:sz w:val="20"/>
              </w:rPr>
              <w:t>Gilt, aber weit auszulegen</w:t>
            </w:r>
          </w:p>
        </w:tc>
      </w:tr>
      <w:tr>
        <w:tc>
          <w:tcPr>
            <w:tcW w:type="dxa" w:w="3024"/>
          </w:tcPr>
          <w:p>
            <w:r>
              <w:rPr>
                <w:rFonts w:ascii="Times New Roman" w:hAnsi="Times New Roman"/>
                <w:sz w:val="20"/>
              </w:rPr>
              <w:t>Gerichtsschriftsatz — Schmähkritik</w:t>
            </w:r>
          </w:p>
        </w:tc>
        <w:tc>
          <w:tcPr>
            <w:tcW w:type="dxa" w:w="3024"/>
          </w:tcPr>
          <w:p>
            <w:r>
              <w:rPr>
                <w:rFonts w:ascii="Times New Roman" w:hAnsi="Times New Roman"/>
                <w:sz w:val="20"/>
              </w:rPr>
              <w:t>Kein Verfahrensprivileg</w:t>
            </w:r>
          </w:p>
        </w:tc>
        <w:tc>
          <w:tcPr>
            <w:tcW w:type="dxa" w:w="3024"/>
          </w:tcPr>
          <w:p>
            <w:r>
              <w:rPr>
                <w:rFonts w:ascii="Times New Roman" w:hAnsi="Times New Roman"/>
                <w:sz w:val="20"/>
              </w:rPr>
              <w:t>Verstoß möglich</w:t>
            </w:r>
          </w:p>
        </w:tc>
      </w:tr>
      <w:tr>
        <w:tc>
          <w:tcPr>
            <w:tcW w:type="dxa" w:w="3024"/>
          </w:tcPr>
          <w:p>
            <w:r>
              <w:rPr>
                <w:rFonts w:ascii="Times New Roman" w:hAnsi="Times New Roman"/>
                <w:sz w:val="20"/>
              </w:rPr>
              <w:t>Kollegiale E-Mail — Kanzleiformat</w:t>
            </w:r>
          </w:p>
        </w:tc>
        <w:tc>
          <w:tcPr>
            <w:tcW w:type="dxa" w:w="3024"/>
          </w:tcPr>
          <w:p>
            <w:r>
              <w:rPr>
                <w:rFonts w:ascii="Times New Roman" w:hAnsi="Times New Roman"/>
                <w:sz w:val="20"/>
              </w:rPr>
              <w:t>Mittleres Schutzniveau</w:t>
            </w:r>
          </w:p>
        </w:tc>
        <w:tc>
          <w:tcPr>
            <w:tcW w:type="dxa" w:w="3024"/>
          </w:tcPr>
          <w:p>
            <w:r>
              <w:rPr>
                <w:rFonts w:ascii="Times New Roman" w:hAnsi="Times New Roman"/>
                <w:sz w:val="20"/>
              </w:rPr>
              <w:t>Sachlichkeitspflicht gilt</w:t>
            </w:r>
          </w:p>
        </w:tc>
      </w:tr>
      <w:tr>
        <w:tc>
          <w:tcPr>
            <w:tcW w:type="dxa" w:w="3024"/>
          </w:tcPr>
          <w:p>
            <w:r>
              <w:rPr>
                <w:rFonts w:ascii="Times New Roman" w:hAnsi="Times New Roman"/>
                <w:sz w:val="20"/>
              </w:rPr>
              <w:t>Private E-Mail — Nachtversand</w:t>
            </w:r>
          </w:p>
        </w:tc>
        <w:tc>
          <w:tcPr>
            <w:tcW w:type="dxa" w:w="3024"/>
          </w:tcPr>
          <w:p>
            <w:r>
              <w:rPr>
                <w:rFonts w:ascii="Times New Roman" w:hAnsi="Times New Roman"/>
                <w:sz w:val="20"/>
              </w:rPr>
              <w:t>Niedrigstes Schutzniveau</w:t>
            </w:r>
          </w:p>
        </w:tc>
        <w:tc>
          <w:tcPr>
            <w:tcW w:type="dxa" w:w="3024"/>
          </w:tcPr>
          <w:p>
            <w:r>
              <w:rPr>
                <w:rFonts w:ascii="Times New Roman" w:hAnsi="Times New Roman"/>
                <w:sz w:val="20"/>
              </w:rPr>
              <w:t>Sachlichkeitspflicht gilt streng</w:t>
            </w:r>
          </w:p>
        </w:tc>
      </w:tr>
      <w:tr>
        <w:tc>
          <w:tcPr>
            <w:tcW w:type="dxa" w:w="3024"/>
          </w:tcPr>
          <w:p>
            <w:r>
              <w:rPr>
                <w:rFonts w:ascii="Times New Roman" w:hAnsi="Times New Roman"/>
                <w:sz w:val="20"/>
              </w:rPr>
              <w:t>Mündliche Äußerung ohne Zeugen</w:t>
            </w:r>
          </w:p>
        </w:tc>
        <w:tc>
          <w:tcPr>
            <w:tcW w:type="dxa" w:w="3024"/>
          </w:tcPr>
          <w:p>
            <w:r>
              <w:rPr>
                <w:rFonts w:ascii="Times New Roman" w:hAnsi="Times New Roman"/>
                <w:sz w:val="20"/>
              </w:rPr>
              <w:t>Beweisproblem</w:t>
            </w:r>
          </w:p>
        </w:tc>
        <w:tc>
          <w:tcPr>
            <w:tcW w:type="dxa" w:w="3024"/>
          </w:tcPr>
          <w:p>
            <w:r>
              <w:rPr>
                <w:rFonts w:ascii="Times New Roman" w:hAnsi="Times New Roman"/>
                <w:sz w:val="20"/>
              </w:rPr>
              <w:t>Gilt theoretisch</w:t>
            </w:r>
          </w:p>
        </w:tc>
      </w:tr>
    </w:tbl>
    <w:p/>
    <w:p>
      <w:pPr>
        <w:pStyle w:val="Heading2"/>
      </w:pPr>
      <w:r>
        <w:rPr>
          <w:rFonts w:ascii="Times New Roman" w:hAnsi="Times New Roman"/>
        </w:rPr>
        <w:t>Quellen</w:t>
      </w:r>
    </w:p>
    <w:p>
      <w:pPr>
        <w:pStyle w:val="ListBullet"/>
      </w:pPr>
      <w:r>
        <w:t>Art. 5 GG — dejure.org</w:t>
      </w:r>
    </w:p>
    <w:p>
      <w:pPr>
        <w:pStyle w:val="ListBullet"/>
      </w:pPr>
      <w:r>
        <w:t>Art. 12 GG — dejure.org</w:t>
      </w:r>
    </w:p>
    <w:p>
      <w:pPr>
        <w:pStyle w:val="ListBullet"/>
      </w:pPr>
      <w:r>
        <w:t>BVerfGE 82, 272 — openjur.de</w:t>
      </w:r>
    </w:p>
    <w:p>
      <w:pPr>
        <w:pStyle w:val="ListBullet"/>
      </w:pPr>
      <w:r>
        <w:t>BVerfG 1 BvR 2335/95 — openjur.de</w:t>
      </w:r>
    </w:p>
    <w:p>
      <w:pPr>
        <w:pStyle w:val="ListBullet"/>
      </w:pPr>
      <w:r>
        <w:t>§ 43a BRAO — dejure.org</w:t>
      </w:r>
    </w:p>
    <w:p/>
    <w:p>
      <w:pPr>
        <w:jc w:val="left"/>
      </w:pPr>
      <w:r>
        <w:t>Bearbeitungsstand: 22.04.2026 — RAin Yvonne Tannenkamp</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