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Drohung und § 240 StGB — Die Insolvenzankündigung als Nötigungsmittel</w:t>
      </w:r>
    </w:p>
    <w:p>
      <w:pPr>
        <w:jc w:val="left"/>
      </w:pPr>
      <w:r>
        <w:t>Strafrechtliche Analyse der Formulierung „Wenn Sie nicht zahlen, ziehen wir die Insolvenz durch"</w:t>
      </w:r>
    </w:p>
    <w:p/>
    <w:p>
      <w:pPr>
        <w:pStyle w:val="Heading2"/>
      </w:pPr>
      <w:r>
        <w:rPr>
          <w:rFonts w:ascii="Times New Roman" w:hAnsi="Times New Roman"/>
        </w:rPr>
        <w:t>Gesetzestext</w:t>
      </w:r>
    </w:p>
    <w:p>
      <w:pPr>
        <w:jc w:val="left"/>
      </w:pPr>
      <w:r>
        <w:t>§ 240 StGB (Nötigung):</w:t>
      </w:r>
    </w:p>
    <w:p>
      <w:pPr>
        <w:ind w:left="567"/>
      </w:pPr>
      <w:r>
        <w:rPr>
          <w:i/>
        </w:rPr>
        <w:t>(1) Wer einen Menschen rechtswidrig mit Gewalt oder durch Drohung mit einem empfindlichen Übel zu einer Handlung, Duldung oder Unterlassung nötigt, wird mit Freiheitsstrafe bis zu drei Jahren oder mit Geldstrafe bestraft.</w:t>
      </w:r>
    </w:p>
    <w:p>
      <w:pPr>
        <w:ind w:left="567"/>
      </w:pPr>
    </w:p>
    <w:p>
      <w:pPr>
        <w:ind w:left="567"/>
      </w:pPr>
      <w:r>
        <w:rPr>
          <w:i/>
        </w:rPr>
        <w:t>(2) Rechtswidrig ist die Tat, wenn die Anwendung der Gewalt oder die Androhung des Übels zu dem angestrebten Zweck als verwerflich anzusehen ist.</w:t>
      </w:r>
    </w:p>
    <w:p>
      <w:pPr>
        <w:ind w:left="567"/>
      </w:pPr>
    </w:p>
    <w:p>
      <w:pPr>
        <w:ind w:left="567"/>
      </w:pPr>
      <w:r>
        <w:rPr>
          <w:i/>
        </w:rPr>
        <w:t>(3) Der Versuch ist strafbar.</w:t>
      </w:r>
    </w:p>
    <w:p>
      <w:pPr>
        <w:jc w:val="left"/>
      </w:pPr>
      <w:r>
        <w:t>Quelle: dejure.org — § 240 StGB</w:t>
      </w:r>
    </w:p>
    <w:p/>
    <w:p>
      <w:pPr>
        <w:pStyle w:val="Heading2"/>
      </w:pPr>
      <w:r>
        <w:rPr>
          <w:rFonts w:ascii="Times New Roman" w:hAnsi="Times New Roman"/>
        </w:rPr>
        <w:t>Tatbestandsanalyse</w:t>
      </w:r>
    </w:p>
    <w:p>
      <w:pPr>
        <w:pStyle w:val="Heading3"/>
      </w:pPr>
      <w:r>
        <w:rPr>
          <w:rFonts w:ascii="Times New Roman" w:hAnsi="Times New Roman"/>
        </w:rPr>
        <w:t>Objektiver Tatbestand</w:t>
      </w:r>
    </w:p>
    <w:p>
      <w:pPr>
        <w:jc w:val="left"/>
      </w:pPr>
      <w:r>
        <w:rPr>
          <w:b/>
        </w:rPr>
        <w:t>Drohung:</w:t>
      </w:r>
      <w:r>
        <w:t xml:space="preserve"> Eine Drohung liegt vor, wenn der Täter ankündigt, ein zukünftiges Übel herbeizuführen, auf dessen Eintreten er Einfluss zu haben vorgibt. Die Ankündigung „ziehen wir die Insolvenz durch" erfüllt dieses Merkmal, wenn der Adressat (RA Quistorf-Schwertmann bzw. seine Mandanten, die Gesellschafter der IPR-KG) die Ankündigung ernst nehmen musste.</w:t>
      </w:r>
    </w:p>
    <w:p>
      <w:pPr>
        <w:jc w:val="left"/>
      </w:pPr>
      <w:r>
        <w:rPr>
          <w:b/>
        </w:rPr>
        <w:t>Empfindliches Übel:</w:t>
      </w:r>
      <w:r>
        <w:t xml:space="preserve"> Ein Insolvenzantrag ist für ein Unternehmen ein empfindliches Übel: er löst Publizitätspflichten aus, erschüttert Kreditwürdigkeit und Geschäftsbeziehungen, und kann — selbst wenn er zurückgenommen wird — nachhaltige wirtschaftliche Schäden verursachen.</w:t>
      </w:r>
    </w:p>
    <w:p>
      <w:pPr>
        <w:jc w:val="left"/>
      </w:pPr>
      <w:r>
        <w:rPr>
          <w:b/>
        </w:rPr>
        <w:t>Nötigungserfolg:</w:t>
      </w:r>
      <w:r>
        <w:t xml:space="preserve"> Die Nötigung zielt auf eine Handlung ab — hier: Herausgabe von Unterlagen oder Zahlung. Ob der Adressat tatsächlich zu einer Handlung gezwungen wurde, ist für die Vollendung nicht erforderlich; Versuch genügt (§ 240 Abs. 3 StGB).</w:t>
      </w:r>
    </w:p>
    <w:p>
      <w:pPr>
        <w:pStyle w:val="Heading3"/>
      </w:pPr>
      <w:r>
        <w:rPr>
          <w:rFonts w:ascii="Times New Roman" w:hAnsi="Times New Roman"/>
        </w:rPr>
        <w:t>Rechtswidrigkeit — das Verwerflichkeitsmerkmal</w:t>
      </w:r>
    </w:p>
    <w:p>
      <w:pPr>
        <w:jc w:val="left"/>
      </w:pPr>
      <w:r>
        <w:t xml:space="preserve">§ 240 Abs. 2 StGB enthält eine tatbestandliche Einschränkung: die Drohung ist nur strafbar, wenn sie als </w:t>
      </w:r>
      <w:r>
        <w:rPr>
          <w:b/>
        </w:rPr>
        <w:t>verwerflich</w:t>
      </w:r>
      <w:r>
        <w:t xml:space="preserve"> im Verhältnis zum verfolgten Zweck anzusehen ist. Dies ist die zentrale Prüfungsfrage:</w:t>
      </w:r>
    </w:p>
    <w:p>
      <w:pPr>
        <w:jc w:val="left"/>
      </w:pPr>
      <w:r>
        <w:rPr>
          <w:b/>
        </w:rPr>
        <w:t>Argument für Strafbarkeit:</w:t>
      </w:r>
    </w:p>
    <w:p>
      <w:pPr>
        <w:pStyle w:val="ListBullet"/>
      </w:pPr>
      <w:r>
        <w:t>RA Dr. Kröll hat nicht nachgewiesen, dass ein tatsächlicher Insolvenzgrund der IPR-KG vorliegt</w:t>
      </w:r>
    </w:p>
    <w:p>
      <w:pPr>
        <w:pStyle w:val="ListBullet"/>
      </w:pPr>
      <w:r>
        <w:t>Die Drohung wird an die Bedingung der Herausgabe von Unterlagen geknüpft — klassische Druckmitteltaktik</w:t>
      </w:r>
    </w:p>
    <w:p>
      <w:pPr>
        <w:pStyle w:val="ListBullet"/>
      </w:pPr>
      <w:r>
        <w:t>Sie wurde nachts, unter emotionalem Druck und offensichtlich ohne rechtliche Prüfung formuliert</w:t>
      </w:r>
    </w:p>
    <w:p>
      <w:pPr>
        <w:jc w:val="left"/>
      </w:pPr>
      <w:r>
        <w:rPr>
          <w:b/>
        </w:rPr>
        <w:t>Argument gegen Strafbarkeit:</w:t>
      </w:r>
    </w:p>
    <w:p>
      <w:pPr>
        <w:pStyle w:val="ListBullet"/>
      </w:pPr>
      <w:r>
        <w:t>Die Ankündigung eines Insolvenzantrags ist ein legitimes Rechtsmittel, wenn tatsächlich ein Insolvenzgrund (§ 17 InsO, Zahlungsunfähigkeit; § 19 InsO, Überschuldung) vorliegt</w:t>
      </w:r>
    </w:p>
    <w:p>
      <w:pPr>
        <w:pStyle w:val="ListBullet"/>
      </w:pPr>
      <w:r>
        <w:t>Auch wenn die Verknüpfung mit einer Forderung zulässig sein kann, wenn die Forderung selbst rechtmäßig ist (BGH, NJW 2007, 3784)</w:t>
      </w:r>
    </w:p>
    <w:p>
      <w:pPr>
        <w:pStyle w:val="ListBullet"/>
      </w:pPr>
      <w:r>
        <w:t>Die bloße Ankündigung ohne tatsächliche Einreichung eines Antrags ist strafrechtlich grenzwertig</w:t>
      </w:r>
    </w:p>
    <w:p>
      <w:pPr>
        <w:jc w:val="left"/>
      </w:pPr>
      <w:r>
        <w:rPr>
          <w:b/>
        </w:rPr>
        <w:t>Ergebnis:</w:t>
      </w:r>
      <w:r>
        <w:t xml:space="preserve"> Die konkrete Formulierung ist im Rahmen des § 240 StGB risikoreich. Da kein geprüfter Insolvenzgrund vorliegt und die Drohung erkennbar als Druckmittel zur Urkundenherausgabe eingesetzt wurde, ist eine Strafverfolgung nicht ausgeschlossen. Das Risiko eines Anfangsverdachts ist real; eine Verurteilung ist unsicher.</w:t>
      </w:r>
    </w:p>
    <w:p/>
    <w:p>
      <w:pPr>
        <w:pStyle w:val="Heading2"/>
      </w:pPr>
      <w:r>
        <w:rPr>
          <w:rFonts w:ascii="Times New Roman" w:hAnsi="Times New Roman"/>
        </w:rPr>
        <w:t>Zivilrechtliche Parallele</w:t>
      </w:r>
    </w:p>
    <w:p>
      <w:pPr>
        <w:jc w:val="left"/>
      </w:pPr>
      <w:r>
        <w:t>Unabhängig vom Strafrecht kann die Drohung mit einem Insolvenzantrag als unzulässige Rechtsausübung (§ 242 BGB) oder als sittenwidrige Handlung (§ 826 BGB) qualifiziert werden, wenn sie ohne hinreichende Grundlage erfolgt.</w:t>
      </w:r>
    </w:p>
    <w:p/>
    <w:p>
      <w:pPr>
        <w:pStyle w:val="Heading2"/>
      </w:pPr>
      <w:r>
        <w:rPr>
          <w:rFonts w:ascii="Times New Roman" w:hAnsi="Times New Roman"/>
        </w:rPr>
        <w:t>Abgrenzung zur erlaubten Druckausübung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Formulierung</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„Wir behalten uns vor, einen Insolvenzantrag zu stellen, sofern die rechtlichen Voraussetzungen vorliegen."</w:t>
            </w:r>
          </w:p>
        </w:tc>
        <w:tc>
          <w:tcPr>
            <w:tcW w:type="dxa" w:w="4536"/>
          </w:tcPr>
          <w:p>
            <w:r>
              <w:rPr>
                <w:rFonts w:ascii="Times New Roman" w:hAnsi="Times New Roman"/>
                <w:sz w:val="20"/>
              </w:rPr>
              <w:t>Zulässig — rechtliche Selbsteinschränkung vorhanden</w:t>
            </w:r>
          </w:p>
        </w:tc>
      </w:tr>
      <w:tr>
        <w:tc>
          <w:tcPr>
            <w:tcW w:type="dxa" w:w="4536"/>
          </w:tcPr>
          <w:p>
            <w:r>
              <w:rPr>
                <w:rFonts w:ascii="Times New Roman" w:hAnsi="Times New Roman"/>
                <w:sz w:val="20"/>
              </w:rPr>
              <w:t>„Wir werden prüfen, ob ein Insolvenzantrag in Betracht kommt."</w:t>
            </w:r>
          </w:p>
        </w:tc>
        <w:tc>
          <w:tcPr>
            <w:tcW w:type="dxa" w:w="4536"/>
          </w:tcPr>
          <w:p>
            <w:r>
              <w:rPr>
                <w:rFonts w:ascii="Times New Roman" w:hAnsi="Times New Roman"/>
                <w:sz w:val="20"/>
              </w:rPr>
              <w:t>Zulässig — kein unbedingtes Inaussichtstellen</w:t>
            </w:r>
          </w:p>
        </w:tc>
      </w:tr>
      <w:tr>
        <w:tc>
          <w:tcPr>
            <w:tcW w:type="dxa" w:w="4536"/>
          </w:tcPr>
          <w:p>
            <w:r>
              <w:rPr>
                <w:rFonts w:ascii="Times New Roman" w:hAnsi="Times New Roman"/>
                <w:sz w:val="20"/>
              </w:rPr>
              <w:t>„Wir ziehen die Insolvenz durch, wenn Sie nicht zahlen."</w:t>
            </w:r>
          </w:p>
        </w:tc>
        <w:tc>
          <w:tcPr>
            <w:tcW w:type="dxa" w:w="4536"/>
          </w:tcPr>
          <w:p>
            <w:r>
              <w:rPr>
                <w:rFonts w:ascii="Times New Roman" w:hAnsi="Times New Roman"/>
                <w:sz w:val="20"/>
              </w:rPr>
              <w:t>Risikoreich — keine Einschränkung, unbedingte Drohung</w:t>
            </w:r>
          </w:p>
        </w:tc>
      </w:tr>
    </w:tbl>
    <w:p>
      <w:pPr>
        <w:jc w:val="left"/>
      </w:pPr>
      <w:r>
        <w:t xml:space="preserve">Das Plugin </w:t>
      </w:r>
      <w:r>
        <w:t>email-umformulierer-berufsrecht</w:t>
      </w:r>
      <w:r>
        <w:t xml:space="preserve"> erkennt das Muster der unbedingten Drohungsformulierung und transformiert sie in die erste oder zweite zulässige Variante.</w:t>
      </w:r>
    </w:p>
    <w:p/>
    <w:p>
      <w:pPr>
        <w:pStyle w:val="Heading2"/>
      </w:pPr>
      <w:r>
        <w:rPr>
          <w:rFonts w:ascii="Times New Roman" w:hAnsi="Times New Roman"/>
        </w:rPr>
        <w:t>Handlungsempfehlung</w:t>
      </w:r>
    </w:p>
    <w:p>
      <w:pPr>
        <w:jc w:val="left"/>
      </w:pPr>
      <w:r>
        <w:t>RA Dr. Kröll sollte die Insolvenzfähigkeit der IPR-KG durch eine unabhängige wirtschaftliche Prüfung feststellen lassen, bevor er dieses Argument erneut einsetzt. Ein fundierter Hinweis auf einen möglichen Insolvenzantrag wäre — wenn belegt — ein legitimes Verhandlungsmittel. In der vorliegenden Form ist er strafrechtlich riskant.</w:t>
      </w:r>
    </w:p>
    <w:p/>
    <w:p>
      <w:pPr>
        <w:pStyle w:val="Heading2"/>
      </w:pPr>
      <w:r>
        <w:rPr>
          <w:rFonts w:ascii="Times New Roman" w:hAnsi="Times New Roman"/>
        </w:rPr>
        <w:t>Quellen</w:t>
      </w:r>
    </w:p>
    <w:p>
      <w:pPr>
        <w:pStyle w:val="ListBullet"/>
      </w:pPr>
      <w:r>
        <w:t>§ 240 StGB — dejure.org</w:t>
      </w:r>
    </w:p>
    <w:p>
      <w:pPr>
        <w:pStyle w:val="ListBullet"/>
      </w:pPr>
      <w:r>
        <w:t>§ 17 InsO — dejure.org</w:t>
      </w:r>
    </w:p>
    <w:p>
      <w:pPr>
        <w:pStyle w:val="ListBullet"/>
      </w:pPr>
      <w:r>
        <w:t>§ 242 BGB — dejure.org</w:t>
      </w:r>
    </w:p>
    <w:p>
      <w:pPr>
        <w:pStyle w:val="ListBullet"/>
      </w:pPr>
      <w:r>
        <w:t>BGH, NJW 2007, 3784 — openjur.de</w:t>
      </w:r>
    </w:p>
    <w:p/>
    <w:p>
      <w:pPr>
        <w:jc w:val="left"/>
      </w:pPr>
      <w:r>
        <w:t>Bearbeitungsstand: 22.04.2026 — RA Dr. Volkard Kröll (überarbeitet RAin Tannenkamp)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