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DSGVO-Panne und Doxxing — Art. 33 DSGVO, Meldung an den HBDI</w:t>
      </w:r>
    </w:p>
    <w:p>
      <w:pPr>
        <w:jc w:val="left"/>
      </w:pPr>
      <w:r>
        <w:t>Datenpanne vom 08.03.2026: private Anschrift RAin Tannenkamp versehentlich an alle 10 Erben</w:t>
      </w:r>
    </w:p>
    <w:p/>
    <w:p>
      <w:pPr>
        <w:pStyle w:val="Heading2"/>
      </w:pPr>
      <w:r>
        <w:rPr>
          <w:rFonts w:ascii="Times New Roman" w:hAnsi="Times New Roman"/>
        </w:rPr>
        <w:t>Sachverhalt</w:t>
      </w:r>
    </w:p>
    <w:p>
      <w:pPr>
        <w:jc w:val="left"/>
      </w:pPr>
      <w:r>
        <w:t>Am 08. März 2026 um 14:22 Uhr versandte Frau Hannelore Bischoff (Kanzleisekretärin) eine E-Mail mit einer aktualisierten Mandatsübersicht an alle zehn Mitglieder der Erbengemeinschaft Aufhauser-Trenkler. Im E-Mail-Verteiler wurde versehentlich ein internes Adressbuch-Eintrag-Objekt mitgekopiert, das die private Wohnanschrift von RAin Yvonne Tannenkamp enthielt:</w:t>
      </w:r>
    </w:p>
    <w:p>
      <w:pPr>
        <w:ind w:left="567"/>
      </w:pPr>
      <w:r>
        <w:rPr>
          <w:i/>
        </w:rPr>
        <w:t>Yvonne Tannenkamp, Fichtenweg 14, 60487 Frankfurt am Main</w:t>
      </w:r>
    </w:p>
    <w:p>
      <w:pPr>
        <w:jc w:val="left"/>
      </w:pPr>
      <w:r>
        <w:t>Diese Angabe befand sich in einem Anhang-Dokument (Word-Datei „Kanzleinotiz_Verteiler_intern_V4.docx"), das irrtümlich als öffentlicher Anhang mitversandt wurde statt des richtigen Dokuments „Mandantenübersicht_März2026_extern.docx".</w:t>
      </w:r>
    </w:p>
    <w:p>
      <w:pPr>
        <w:jc w:val="left"/>
      </w:pPr>
      <w:r>
        <w:t>Die E-Mail wurde an alle 10 Erben (To/Cc-Empfänger) übermittelt, darunter Markus Trenkler. Trenkler hat die Adresse nach vorliegenden Erkenntnissen nicht weitergegeben — er hat jedoch in einer späteren Nachricht Bezug auf „Wohnverhältnisse im Westend" genommen, was RAin Tannenkamp als Einschüchterungshinweis wertete.</w:t>
      </w:r>
    </w:p>
    <w:p/>
    <w:p>
      <w:pPr>
        <w:pStyle w:val="Heading2"/>
      </w:pPr>
      <w:r>
        <w:rPr>
          <w:rFonts w:ascii="Times New Roman" w:hAnsi="Times New Roman"/>
        </w:rPr>
        <w:t>Datenschutzrechtliche Einordnung</w:t>
      </w:r>
    </w:p>
    <w:p>
      <w:pPr>
        <w:pStyle w:val="Heading3"/>
      </w:pPr>
      <w:r>
        <w:rPr>
          <w:rFonts w:ascii="Times New Roman" w:hAnsi="Times New Roman"/>
        </w:rPr>
        <w:t>Personenbezogenes Datum</w:t>
      </w:r>
    </w:p>
    <w:p>
      <w:pPr>
        <w:jc w:val="left"/>
      </w:pPr>
      <w:r>
        <w:t>Die private Wohnanschrift von RAin Tannenkamp ist ein personenbezogenes Datum im Sinne von Art. 4 Nr. 1 DSGVO: sie bezieht sich auf eine identifizierte natürliche Person und kann dazu verwendet werden, diese Person physisch aufzusuchen.</w:t>
      </w:r>
    </w:p>
    <w:p>
      <w:pPr>
        <w:jc w:val="left"/>
      </w:pPr>
      <w:r>
        <w:t>Quelle: EUR-Lex — Art. 4 DSGVO</w:t>
      </w:r>
    </w:p>
    <w:p>
      <w:pPr>
        <w:pStyle w:val="Heading3"/>
      </w:pPr>
      <w:r>
        <w:rPr>
          <w:rFonts w:ascii="Times New Roman" w:hAnsi="Times New Roman"/>
        </w:rPr>
        <w:t>Verletzung des Schutzes personenbezogener Daten (Art. 4 Nr. 12 DSGVO)</w:t>
      </w:r>
    </w:p>
    <w:p>
      <w:pPr>
        <w:jc w:val="left"/>
      </w:pPr>
      <w:r>
        <w:t>Eine „Verletzung des Schutzes personenbezogener Daten" liegt vor bei „einer Verletzung der Sicherheit, die [...] zur unbeabsichtigten oder unrechtmäßigen Offenlegung von oder dem unbeabsichtigten oder unrechtmäßigen Zugang zu weitergeleiteten [...] personenbezogenen Daten führt." Dies ist hier erfüllt.</w:t>
      </w:r>
    </w:p>
    <w:p>
      <w:pPr>
        <w:pStyle w:val="Heading3"/>
      </w:pPr>
      <w:r>
        <w:rPr>
          <w:rFonts w:ascii="Times New Roman" w:hAnsi="Times New Roman"/>
        </w:rPr>
        <w:t>Verantwortlicher</w:t>
      </w:r>
    </w:p>
    <w:p>
      <w:pPr>
        <w:jc w:val="left"/>
      </w:pPr>
      <w:r>
        <w:t>Die Kanzlei Rosenmühle &amp; Partner ist als Arbeitgeberin und Betreiberin des E-Mail-Systems Verantwortliche im Sinne von Art. 4 Nr. 7 DSGVO.</w:t>
      </w:r>
    </w:p>
    <w:p/>
    <w:p>
      <w:pPr>
        <w:pStyle w:val="Heading2"/>
      </w:pPr>
      <w:r>
        <w:rPr>
          <w:rFonts w:ascii="Times New Roman" w:hAnsi="Times New Roman"/>
        </w:rPr>
        <w:t>Meldepflicht nach Art. 33 DSGVO</w:t>
      </w:r>
    </w:p>
    <w:p>
      <w:pPr>
        <w:pStyle w:val="Heading3"/>
      </w:pPr>
      <w:r>
        <w:rPr>
          <w:rFonts w:ascii="Times New Roman" w:hAnsi="Times New Roman"/>
        </w:rPr>
        <w:t>Tatbestand</w:t>
      </w:r>
    </w:p>
    <w:p>
      <w:pPr>
        <w:jc w:val="left"/>
      </w:pPr>
      <w:r>
        <w:t>Art. 33 Abs. 1 DSGVO verpflichtet den Verantwortlichen, bei Datenpannen mit Risiko für natürliche Personen, die Aufsichtsbehörde unverzüglich — möglichst binnen 72 Stunden — zu benachrichtigen.</w:t>
      </w:r>
    </w:p>
    <w:p>
      <w:pPr>
        <w:jc w:val="left"/>
      </w:pPr>
      <w:r>
        <w:t>Quelle: EUR-Lex — Art. 33 DSGVO</w:t>
      </w:r>
    </w:p>
    <w:p>
      <w:pPr>
        <w:pStyle w:val="Heading3"/>
      </w:pPr>
      <w:r>
        <w:rPr>
          <w:rFonts w:ascii="Times New Roman" w:hAnsi="Times New Roman"/>
        </w:rPr>
        <w:t>Durchführung</w:t>
      </w:r>
    </w:p>
    <w:p>
      <w:pPr>
        <w:jc w:val="left"/>
      </w:pPr>
      <w:r>
        <w:t xml:space="preserve">RA Dr. Kröll hat am 10.03.2026 (Dienstag, 48 Stunden nach dem Vorfall) eine Meldung an den </w:t>
      </w:r>
      <w:r>
        <w:rPr>
          <w:b/>
        </w:rPr>
        <w:t>Hessischen Beauftragten für Datenschutz und Informationsfreiheit (HBDI)</w:t>
      </w:r>
      <w:r>
        <w:t xml:space="preserve"> erstattet:</w:t>
      </w:r>
    </w:p>
    <w:p>
      <w:pPr>
        <w:pStyle w:val="ListBullet"/>
      </w:pPr>
      <w:r>
        <w:t>Meldung: schriftlich per Online-Formular des HBDI</w:t>
      </w:r>
    </w:p>
    <w:p>
      <w:pPr>
        <w:pStyle w:val="ListBullet"/>
      </w:pPr>
      <w:r>
        <w:t>Az. HBDI: DSB-2026-1142</w:t>
      </w:r>
    </w:p>
    <w:p>
      <w:pPr>
        <w:pStyle w:val="ListBullet"/>
      </w:pPr>
      <w:r>
        <w:t>Inhalt der Meldung: Art der Panne, betroffene Daten, Anzahl der Empfänger, ergriffene Sofortmaßnahmen</w:t>
      </w:r>
    </w:p>
    <w:p>
      <w:pPr>
        <w:pStyle w:val="ListBullet"/>
      </w:pPr>
      <w:r>
        <w:t>Sofortmaßnahmen: Rückrufaufforderung an alle Empfänger, Bitte um Löschung, internes E-Mail-System-Audit</w:t>
      </w:r>
    </w:p>
    <w:p>
      <w:pPr>
        <w:jc w:val="left"/>
      </w:pPr>
      <w:r>
        <w:t>Die Meldung an den HBDI ist als PDF in der Akte abgelegt (vgl. dsgvo_meldung_hba_doxxing_redacted.pdf).</w:t>
      </w:r>
    </w:p>
    <w:p>
      <w:pPr>
        <w:pStyle w:val="Heading3"/>
      </w:pPr>
      <w:r>
        <w:rPr>
          <w:rFonts w:ascii="Times New Roman" w:hAnsi="Times New Roman"/>
        </w:rPr>
        <w:t>Einhaltung der 72-Stunden-Frist</w:t>
      </w:r>
    </w:p>
    <w:p>
      <w:pPr>
        <w:jc w:val="left"/>
      </w:pPr>
      <w:r>
        <w:t>Panne: 08.03.2026, 14:22 Uhr. Meldung: 10.03.2026, ca. 11:00 Uhr. Zeitabstand: ca. 45 Stunden. Frist eingehalten.</w:t>
      </w:r>
    </w:p>
    <w:p/>
    <w:p>
      <w:pPr>
        <w:pStyle w:val="Heading2"/>
      </w:pPr>
      <w:r>
        <w:rPr>
          <w:rFonts w:ascii="Times New Roman" w:hAnsi="Times New Roman"/>
        </w:rPr>
        <w:t>Doxxing als Dimension</w:t>
      </w:r>
    </w:p>
    <w:p>
      <w:pPr>
        <w:jc w:val="left"/>
      </w:pPr>
      <w:r>
        <w:t>Im vorliegenden Fall handelt es sich technisch nicht um vorsätzliches Doxxing (gezielte Veröffentlichung privater Daten zur Einschüchterung), sondern um eine fahrlässige Datenpanne. Gleichwohl hat die unbeabsichtigte Offenlegung de-facto-Doxxing-Wirkung erzeugt: Markus Trenkler kennt nun die private Anschrift von RAin Tannenkamp.</w:t>
      </w:r>
    </w:p>
    <w:p>
      <w:pPr>
        <w:jc w:val="left"/>
      </w:pPr>
      <w:r>
        <w:t>Die Kanzlei hat RAin Tannenkamp über das Ergebnis informiert und ihr freigestellt, sich an eine andere Adresse umzumelden oder polizeilich ein Schutzgesuch zu stellen. Tannenkamp hat bisher weder Strafanzeige erstattet noch die Adresse gewechselt.</w:t>
      </w:r>
    </w:p>
    <w:p/>
    <w:p>
      <w:pPr>
        <w:pStyle w:val="Heading2"/>
      </w:pPr>
      <w:r>
        <w:rPr>
          <w:rFonts w:ascii="Times New Roman" w:hAnsi="Times New Roman"/>
        </w:rPr>
        <w:t>Interne Fehleranalyse</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Ursache</w:t>
            </w:r>
          </w:p>
        </w:tc>
        <w:tc>
          <w:tcPr>
            <w:tcW w:type="dxa" w:w="4536"/>
          </w:tcPr>
          <w:p>
            <w:r>
              <w:rPr>
                <w:rFonts w:ascii="Times New Roman" w:hAnsi="Times New Roman"/>
                <w:b/>
                <w:sz w:val="20"/>
              </w:rPr>
              <w:t>Verantwortung</w:t>
            </w:r>
          </w:p>
        </w:tc>
      </w:tr>
      <w:tr>
        <w:tc>
          <w:tcPr>
            <w:tcW w:type="dxa" w:w="4536"/>
          </w:tcPr>
          <w:p>
            <w:r>
              <w:rPr>
                <w:rFonts w:ascii="Times New Roman" w:hAnsi="Times New Roman"/>
                <w:sz w:val="20"/>
              </w:rPr>
              <w:t>Falsche Datei angehängt</w:t>
            </w:r>
          </w:p>
        </w:tc>
        <w:tc>
          <w:tcPr>
            <w:tcW w:type="dxa" w:w="4536"/>
          </w:tcPr>
          <w:p>
            <w:r>
              <w:rPr>
                <w:rFonts w:ascii="Times New Roman" w:hAnsi="Times New Roman"/>
                <w:sz w:val="20"/>
              </w:rPr>
              <w:t>Frau Bischoff (Sekretariat)</w:t>
            </w:r>
          </w:p>
        </w:tc>
      </w:tr>
      <w:tr>
        <w:tc>
          <w:tcPr>
            <w:tcW w:type="dxa" w:w="4536"/>
          </w:tcPr>
          <w:p>
            <w:r>
              <w:rPr>
                <w:rFonts w:ascii="Times New Roman" w:hAnsi="Times New Roman"/>
                <w:sz w:val="20"/>
              </w:rPr>
              <w:t>Kein Vier-Augen-Prinzip vor Massenversand</w:t>
            </w:r>
          </w:p>
        </w:tc>
        <w:tc>
          <w:tcPr>
            <w:tcW w:type="dxa" w:w="4536"/>
          </w:tcPr>
          <w:p>
            <w:r>
              <w:rPr>
                <w:rFonts w:ascii="Times New Roman" w:hAnsi="Times New Roman"/>
                <w:sz w:val="20"/>
              </w:rPr>
              <w:t>Kanzleileitung (organisatorisches Versagen)</w:t>
            </w:r>
          </w:p>
        </w:tc>
      </w:tr>
      <w:tr>
        <w:tc>
          <w:tcPr>
            <w:tcW w:type="dxa" w:w="4536"/>
          </w:tcPr>
          <w:p>
            <w:r>
              <w:rPr>
                <w:rFonts w:ascii="Times New Roman" w:hAnsi="Times New Roman"/>
                <w:sz w:val="20"/>
              </w:rPr>
              <w:t>Internes Adressbuch nicht segmentiert</w:t>
            </w:r>
          </w:p>
        </w:tc>
        <w:tc>
          <w:tcPr>
            <w:tcW w:type="dxa" w:w="4536"/>
          </w:tcPr>
          <w:p>
            <w:r>
              <w:rPr>
                <w:rFonts w:ascii="Times New Roman" w:hAnsi="Times New Roman"/>
                <w:sz w:val="20"/>
              </w:rPr>
              <w:t>IT-Administration der Kanzlei</w:t>
            </w:r>
          </w:p>
        </w:tc>
      </w:tr>
      <w:tr>
        <w:tc>
          <w:tcPr>
            <w:tcW w:type="dxa" w:w="4536"/>
          </w:tcPr>
          <w:p>
            <w:r>
              <w:rPr>
                <w:rFonts w:ascii="Times New Roman" w:hAnsi="Times New Roman"/>
                <w:sz w:val="20"/>
              </w:rPr>
              <w:t>Kein automatischer DLP-Filter (Data Loss Prevention)</w:t>
            </w:r>
          </w:p>
        </w:tc>
        <w:tc>
          <w:tcPr>
            <w:tcW w:type="dxa" w:w="4536"/>
          </w:tcPr>
          <w:p>
            <w:r>
              <w:rPr>
                <w:rFonts w:ascii="Times New Roman" w:hAnsi="Times New Roman"/>
                <w:sz w:val="20"/>
              </w:rPr>
              <w:t>Fehlende technische Schutzmaßnahme</w:t>
            </w:r>
          </w:p>
        </w:tc>
      </w:tr>
    </w:tbl>
    <w:p/>
    <w:p>
      <w:pPr>
        <w:pStyle w:val="Heading2"/>
      </w:pPr>
      <w:r>
        <w:rPr>
          <w:rFonts w:ascii="Times New Roman" w:hAnsi="Times New Roman"/>
        </w:rPr>
        <w:t>Quellen</w:t>
      </w:r>
    </w:p>
    <w:p>
      <w:pPr>
        <w:pStyle w:val="ListBullet"/>
      </w:pPr>
      <w:r>
        <w:t>Art. 4 DSGVO — EUR-Lex</w:t>
      </w:r>
    </w:p>
    <w:p>
      <w:pPr>
        <w:pStyle w:val="ListBullet"/>
      </w:pPr>
      <w:r>
        <w:t>Art. 33 DSGVO — EUR-Lex</w:t>
      </w:r>
    </w:p>
    <w:p>
      <w:pPr>
        <w:pStyle w:val="ListBullet"/>
      </w:pPr>
      <w:r>
        <w:t>Hessischer Beauftragter für Datenschutz und Informationsfreiheit — hbdi.hessen.de</w:t>
      </w:r>
    </w:p>
    <w:p/>
    <w:p>
      <w:pPr>
        <w:jc w:val="left"/>
      </w:pPr>
      <w:r>
        <w:t>Bearbeitungsstand: 22.04.2026 — RA Dr. Volkard Kröll</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