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Betroffenenrechte — Art. 34 DSGVO: Benachrichtigung der betroffenen Person</w:t>
      </w:r>
    </w:p>
    <w:p>
      <w:pPr>
        <w:jc w:val="left"/>
      </w:pPr>
      <w:r>
        <w:t>Pflicht zur direkten Information von RAin Tannenkamp über die Datenpanne</w:t>
      </w:r>
    </w:p>
    <w:p/>
    <w:p>
      <w:pPr>
        <w:pStyle w:val="Heading2"/>
      </w:pPr>
      <w:r>
        <w:rPr>
          <w:rFonts w:ascii="Times New Roman" w:hAnsi="Times New Roman"/>
        </w:rPr>
        <w:t>Gesetzestext</w:t>
      </w:r>
    </w:p>
    <w:p>
      <w:pPr>
        <w:jc w:val="left"/>
      </w:pPr>
      <w:r>
        <w:t>Art. 34 Abs. 1 DSGVO:</w:t>
      </w:r>
    </w:p>
    <w:p>
      <w:pPr>
        <w:ind w:left="567"/>
      </w:pPr>
      <w:r>
        <w:rPr>
          <w:i/>
        </w:rPr>
        <w:t>Hat die Verletzung des Schutzes personenbezogener Daten voraussichtlich ein hohes Risiko für die persönlichen Rechte und Freiheiten natürlicher Personen zur Folge, so benachrichtigt der Verantwortliche die betroffene Person unverzüglich von der Verletzung.</w:t>
      </w:r>
    </w:p>
    <w:p>
      <w:pPr>
        <w:jc w:val="left"/>
      </w:pPr>
      <w:r>
        <w:t>Quelle: EUR-Lex — Art. 34 DSGVO</w:t>
      </w:r>
    </w:p>
    <w:p/>
    <w:p>
      <w:pPr>
        <w:pStyle w:val="Heading2"/>
      </w:pPr>
      <w:r>
        <w:rPr>
          <w:rFonts w:ascii="Times New Roman" w:hAnsi="Times New Roman"/>
        </w:rPr>
        <w:t>Prüfung: Hohes Risiko für die betroffene Person?</w:t>
      </w:r>
    </w:p>
    <w:p>
      <w:pPr>
        <w:jc w:val="left"/>
      </w:pPr>
      <w:r>
        <w:t>Die Frage, ob ein „hohes Risiko" vorliegt, ist am Einzelfall zu messen. Relevante Faktoren:</w:t>
      </w:r>
    </w:p>
    <w:p>
      <w:pPr>
        <w:pStyle w:val="ListNumber"/>
      </w:pPr>
      <w:r>
        <w:rPr>
          <w:b/>
        </w:rPr>
        <w:t>Art der Daten:</w:t>
      </w:r>
      <w:r>
        <w:t xml:space="preserve"> Wohnanschrift (sensitiv, da Kontaktmöglichkeit zur Person und potenziell Einschüchterungsmittel)</w:t>
      </w:r>
    </w:p>
    <w:p>
      <w:pPr>
        <w:pStyle w:val="ListNumber"/>
      </w:pPr>
      <w:r>
        <w:rPr>
          <w:b/>
        </w:rPr>
        <w:t>Anzahl der Empfänger:</w:t>
      </w:r>
      <w:r>
        <w:t xml:space="preserve"> 10 Personen, davon mindestens eine (Markus Trenkler) mit nachgewiesener feindseliger Einstellung gegenüber der Kanzlei</w:t>
      </w:r>
    </w:p>
    <w:p>
      <w:pPr>
        <w:pStyle w:val="ListNumber"/>
      </w:pPr>
      <w:r>
        <w:rPr>
          <w:b/>
        </w:rPr>
        <w:t>Kontrollverlust der betroffenen Person:</w:t>
      </w:r>
      <w:r>
        <w:t xml:space="preserve"> RAin Tannenkamp hat keine Kontrolle darüber, was mit der Information geschieht</w:t>
      </w:r>
    </w:p>
    <w:p>
      <w:pPr>
        <w:pStyle w:val="ListNumber"/>
      </w:pPr>
      <w:r>
        <w:rPr>
          <w:b/>
        </w:rPr>
        <w:t>Wahrscheinlichkeit des Missbrauchs:</w:t>
      </w:r>
      <w:r>
        <w:t xml:space="preserve"> Bedrohungshinweis durch Trenkler erhöht die Wahrscheinlichkeit</w:t>
      </w:r>
    </w:p>
    <w:p>
      <w:pPr>
        <w:jc w:val="left"/>
      </w:pPr>
      <w:r>
        <w:rPr>
          <w:b/>
        </w:rPr>
        <w:t>Ergebnis:</w:t>
      </w:r>
      <w:r>
        <w:t xml:space="preserve"> Das Risiko für RAin Tannenkamp ist als </w:t>
      </w:r>
      <w:r>
        <w:rPr>
          <w:b/>
        </w:rPr>
        <w:t>hoch</w:t>
      </w:r>
      <w:r>
        <w:t xml:space="preserve"> einzustufen. Die Benachrichtigungspflicht nach Art. 34 DSGVO ist ausgelöst.</w:t>
      </w:r>
    </w:p>
    <w:p/>
    <w:p>
      <w:pPr>
        <w:pStyle w:val="Heading2"/>
      </w:pPr>
      <w:r>
        <w:rPr>
          <w:rFonts w:ascii="Times New Roman" w:hAnsi="Times New Roman"/>
        </w:rPr>
        <w:t>Durchführung der Benachrichtigung</w:t>
      </w:r>
    </w:p>
    <w:p>
      <w:pPr>
        <w:jc w:val="left"/>
      </w:pPr>
      <w:r>
        <w:t>RA Dr. Kröll hat RAin Tannenkamp am 08.03.2026 noch am selben Tag — mündlich im Gespräch und schriftlich per interner Kanzlei-E-Mail — über die Datenpanne informiert. Die Benachrichtigung enthielt:</w:t>
      </w:r>
    </w:p>
    <w:p>
      <w:pPr>
        <w:pStyle w:val="ListBullet"/>
      </w:pPr>
      <w:r>
        <w:t>Art der Panne (falsches Dokument angehängt)</w:t>
      </w:r>
    </w:p>
    <w:p>
      <w:pPr>
        <w:pStyle w:val="ListBullet"/>
      </w:pPr>
      <w:r>
        <w:t>Betroffene Daten (Wohnanschrift Fichtenweg 14)</w:t>
      </w:r>
    </w:p>
    <w:p>
      <w:pPr>
        <w:pStyle w:val="ListBullet"/>
      </w:pPr>
      <w:r>
        <w:t>Empfänger der fehlgeleiteten E-Mail (10 Erben, namentlich)</w:t>
      </w:r>
    </w:p>
    <w:p>
      <w:pPr>
        <w:pStyle w:val="ListBullet"/>
      </w:pPr>
      <w:r>
        <w:t>Ergriffene Maßnahmen (Rückrufaufforderung, Löschaufforderung)</w:t>
      </w:r>
    </w:p>
    <w:p>
      <w:pPr>
        <w:pStyle w:val="ListBullet"/>
      </w:pPr>
      <w:r>
        <w:t>Ansprechperson für weitere Fragen (RA Dr. Kröll persönlich)</w:t>
      </w:r>
    </w:p>
    <w:p/>
    <w:p>
      <w:pPr>
        <w:pStyle w:val="Heading2"/>
      </w:pPr>
      <w:r>
        <w:rPr>
          <w:rFonts w:ascii="Times New Roman" w:hAnsi="Times New Roman"/>
        </w:rPr>
        <w:t>Weitere Betroffenenrechte nach DSGVO</w:t>
      </w:r>
    </w:p>
    <w:p>
      <w:pPr>
        <w:jc w:val="left"/>
      </w:pPr>
      <w:r>
        <w:t>Obwohl im Schwerpunkt die Datenpanne die betroffene Person RAin Tannenkamp ist, bestehen ergänzend folgende Rechte, die für Vollständigkeit der Beratung notiert werden:</w:t>
      </w:r>
    </w:p>
    <w:p>
      <w:pPr>
        <w:pStyle w:val="Heading3"/>
      </w:pPr>
      <w:r>
        <w:rPr>
          <w:rFonts w:ascii="Times New Roman" w:hAnsi="Times New Roman"/>
        </w:rPr>
        <w:t>Art. 15 DSGVO — Auskunftsrecht</w:t>
      </w:r>
    </w:p>
    <w:p>
      <w:pPr>
        <w:jc w:val="left"/>
      </w:pPr>
      <w:r>
        <w:t>Jede natürliche Person kann Auskunft darüber verlangen, welche sie betreffenden Daten verarbeitet werden. RAin Tannenkamp kann gegenüber der Kanzlei verlangen offenzulegen, welche weiteren internen Daten über sie gespeichert sind.</w:t>
      </w:r>
    </w:p>
    <w:p>
      <w:pPr>
        <w:pStyle w:val="Heading3"/>
      </w:pPr>
      <w:r>
        <w:rPr>
          <w:rFonts w:ascii="Times New Roman" w:hAnsi="Times New Roman"/>
        </w:rPr>
        <w:t>Art. 16 DSGVO — Berichtigungsrecht</w:t>
      </w:r>
    </w:p>
    <w:p>
      <w:pPr>
        <w:jc w:val="left"/>
      </w:pPr>
      <w:r>
        <w:t>Sofern die gespeicherte Adresse veraltet oder falsch wäre, könnte RAin Tannenkamp Berichtigung verlangen. Hier nicht relevant, da Adresse korrekt war.</w:t>
      </w:r>
    </w:p>
    <w:p>
      <w:pPr>
        <w:pStyle w:val="Heading3"/>
      </w:pPr>
      <w:r>
        <w:rPr>
          <w:rFonts w:ascii="Times New Roman" w:hAnsi="Times New Roman"/>
        </w:rPr>
        <w:t>Art. 17 DSGVO — Recht auf Löschung</w:t>
      </w:r>
    </w:p>
    <w:p>
      <w:pPr>
        <w:jc w:val="left"/>
      </w:pPr>
      <w:r>
        <w:t>RAin Tannenkamp kann verlangen, dass ihre private Adresse aus dem internen Kanzleiadressbuch entfernt wird. Dies erscheint nach dem Vorfall sinnvoll; die Kanzlei sollte Wohnadressen von Mitarbeitern grundsätzlich nicht in Mandatsdateien speichern.</w:t>
      </w:r>
    </w:p>
    <w:p>
      <w:pPr>
        <w:pStyle w:val="Heading3"/>
      </w:pPr>
      <w:r>
        <w:rPr>
          <w:rFonts w:ascii="Times New Roman" w:hAnsi="Times New Roman"/>
        </w:rPr>
        <w:t>Art. 21 DSGVO — Widerspruchsrecht</w:t>
      </w:r>
    </w:p>
    <w:p>
      <w:pPr>
        <w:jc w:val="left"/>
      </w:pPr>
      <w:r>
        <w:t>RAin Tannenkamp kann der weiteren Verarbeitung ihrer personenbezogenen Daten für kanzleiinterne Zwecke, soweit nicht zwingend erforderlich, widersprechen.</w:t>
      </w:r>
    </w:p>
    <w:p/>
    <w:p>
      <w:pPr>
        <w:pStyle w:val="Heading2"/>
      </w:pPr>
      <w:r>
        <w:rPr>
          <w:rFonts w:ascii="Times New Roman" w:hAnsi="Times New Roman"/>
        </w:rPr>
        <w:t>Empfehlung: Datenschutzfolgenabschätzung</w:t>
      </w:r>
    </w:p>
    <w:p>
      <w:pPr>
        <w:jc w:val="left"/>
      </w:pPr>
      <w:r>
        <w:t xml:space="preserve">Der Vorfall legt nahe, dass die Kanzlei Rosenmühle &amp; Partner eine </w:t>
      </w:r>
      <w:r>
        <w:rPr>
          <w:b/>
        </w:rPr>
        <w:t>Datenschutzfolgenabschätzung</w:t>
      </w:r>
      <w:r>
        <w:t xml:space="preserve"> (DSFA, Art. 35 DSGVO) für ihre E-Mail-Prozesse durchführen sollte, insbesondere für Massenversandvorgänge an externe Mandanten. Eine DSFA ist verpflichtend, wenn eine Art von Verarbeitung voraussichtlich ein hohes Risiko für die Rechte und Freiheiten natürlicher Personen mit sich bringt.</w:t>
      </w:r>
    </w:p>
    <w:p/>
    <w:p>
      <w:pPr>
        <w:pStyle w:val="Heading2"/>
      </w:pPr>
      <w:r>
        <w:rPr>
          <w:rFonts w:ascii="Times New Roman" w:hAnsi="Times New Roman"/>
        </w:rPr>
        <w:t>Sanktionsrisiko für die Kanzlei</w:t>
      </w:r>
    </w:p>
    <w:p>
      <w:pPr>
        <w:jc w:val="left"/>
      </w:pPr>
      <w:r>
        <w:t>Verstöße gegen Art. 33 und Art. 34 DSGVO können mit Geldbußen von bis zu 10 Millionen Euro oder 2 % des weltweiten Jahresumsatzes geahndet werden (Art. 83 Abs. 4 DSGVO). Da die Kanzlei die Meldepflicht (Art. 33) korrekt und fristgerecht erfüllt und die Benachrichtigung der Betroffenen (Art. 34) unverzüglich vorgenommen hat, ist das Sanktionsrisiko erheblich reduziert. Gleichwohl kann der HBDI eine Verwarnung aussprechen oder zusätzliche Auflagen für die E-Mail-Organisation verhängen.</w:t>
      </w:r>
    </w:p>
    <w:p/>
    <w:p>
      <w:pPr>
        <w:pStyle w:val="Heading2"/>
      </w:pPr>
      <w:r>
        <w:rPr>
          <w:rFonts w:ascii="Times New Roman" w:hAnsi="Times New Roman"/>
        </w:rPr>
        <w:t>Quellen</w:t>
      </w:r>
    </w:p>
    <w:p>
      <w:pPr>
        <w:pStyle w:val="ListBullet"/>
      </w:pPr>
      <w:r>
        <w:t>Art. 34 DSGVO — EUR-Lex</w:t>
      </w:r>
    </w:p>
    <w:p>
      <w:pPr>
        <w:pStyle w:val="ListBullet"/>
      </w:pPr>
      <w:r>
        <w:t>Art. 35 DSGVO — EUR-Lex</w:t>
      </w:r>
    </w:p>
    <w:p>
      <w:pPr>
        <w:pStyle w:val="ListBullet"/>
      </w:pPr>
      <w:r>
        <w:t>Art. 83 DSGVO — EUR-Lex</w:t>
      </w:r>
    </w:p>
    <w:p/>
    <w:p>
      <w:pPr>
        <w:jc w:val="left"/>
      </w:pPr>
      <w:r>
        <w:t>Bearbeitungsstand: 22.04.2026 — RA Dr. Volkard Kröll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