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Betroffenenklage — Art. 82 DSGVO: Schadensersatz bei Datenpanne</w:t>
      </w:r>
    </w:p>
    <w:p>
      <w:pPr>
        <w:jc w:val="left"/>
      </w:pPr>
      <w:r>
        <w:t>Haftungsrisiko der Kanzlei Rosenmühle &amp; Partner gegenüber RAin Tannenkamp</w:t>
      </w:r>
    </w:p>
    <w:p/>
    <w:p>
      <w:pPr>
        <w:pStyle w:val="Heading2"/>
      </w:pPr>
      <w:r>
        <w:rPr>
          <w:rFonts w:ascii="Times New Roman" w:hAnsi="Times New Roman"/>
        </w:rPr>
        <w:t>Gesetzestext</w:t>
      </w:r>
    </w:p>
    <w:p>
      <w:pPr>
        <w:jc w:val="left"/>
      </w:pPr>
      <w:r>
        <w:t>Art. 82 Abs. 1 DSGVO:</w:t>
      </w:r>
    </w:p>
    <w:p>
      <w:pPr>
        <w:ind w:left="567"/>
      </w:pPr>
      <w:r>
        <w:rPr>
          <w:i/>
        </w:rPr>
        <w:t>Jede Person, der wegen eines Verstoßes gegen diese Verordnung ein materieller oder immaterieller Schaden entstanden ist, hat Anspruch auf Schadenersatz gegen den Verantwortlichen oder gegen den Auftragsverarbeiter.</w:t>
      </w:r>
    </w:p>
    <w:p>
      <w:pPr>
        <w:jc w:val="left"/>
      </w:pPr>
      <w:r>
        <w:t>Quelle: EUR-Lex — Art. 82 DSGVO</w:t>
      </w:r>
    </w:p>
    <w:p/>
    <w:p>
      <w:pPr>
        <w:pStyle w:val="Heading2"/>
      </w:pPr>
      <w:r>
        <w:rPr>
          <w:rFonts w:ascii="Times New Roman" w:hAnsi="Times New Roman"/>
        </w:rPr>
        <w:t>Anspruchsvoraussetzungen</w:t>
      </w:r>
    </w:p>
    <w:p>
      <w:pPr>
        <w:jc w:val="left"/>
      </w:pPr>
      <w:r>
        <w:t>Ein Schadensersatzanspruch nach Art. 82 DSGVO setzt voraus:</w:t>
      </w:r>
    </w:p>
    <w:p>
      <w:pPr>
        <w:pStyle w:val="ListNumber"/>
      </w:pPr>
      <w:r>
        <w:rPr>
          <w:b/>
        </w:rPr>
        <w:t>Verstoß gegen die DSGVO</w:t>
      </w:r>
      <w:r>
        <w:t xml:space="preserve"> — hier: unbeabsichtigte Offenlegung der privaten Wohnanschrift von RAin Tannenkamp an zehn externe Personen; Verletzung des Grundsatzes der Vertraulichkeit (Art. 5 Abs. 1 lit. f DSGVO)</w:t>
      </w:r>
    </w:p>
    <w:p>
      <w:pPr>
        <w:pStyle w:val="ListNumber"/>
      </w:pPr>
      <w:r>
        <w:rPr>
          <w:b/>
        </w:rPr>
        <w:t>Materieller oder immaterieller Schaden</w:t>
      </w:r>
      <w:r>
        <w:t xml:space="preserve"> — der immaterielle Schaden (Kontrollverlust über private Daten, Einschüchterungsgefühl) ist nach der Rechtsprechung des EuGH ausreichend, auch ohne konkrete Vermögenseinbuße</w:t>
      </w:r>
    </w:p>
    <w:p>
      <w:pPr>
        <w:pStyle w:val="ListNumber"/>
      </w:pPr>
      <w:r>
        <w:rPr>
          <w:b/>
        </w:rPr>
        <w:t>Kausalität</w:t>
      </w:r>
      <w:r>
        <w:t xml:space="preserve"> — die Datenpanne hat den Schaden verursacht</w:t>
      </w:r>
    </w:p>
    <w:p/>
    <w:p>
      <w:pPr>
        <w:pStyle w:val="Heading2"/>
      </w:pPr>
      <w:r>
        <w:rPr>
          <w:rFonts w:ascii="Times New Roman" w:hAnsi="Times New Roman"/>
        </w:rPr>
        <w:t>EuGH-Rechtsprechung zum immateriellen Schaden</w:t>
      </w:r>
    </w:p>
    <w:p>
      <w:pPr>
        <w:jc w:val="left"/>
      </w:pPr>
      <w:r>
        <w:t>Der EuGH hat in mehreren Urteilen klargestellt, dass der bloße Kontrollverlust über eigene personenbezogene Daten ausreichen kann, um einen immateriellen Schaden im Sinne von Art. 82 DSGVO zu begründen. Eine Erheblichkeitsschwelle existiert nach EuGH-Lesart nicht.</w:t>
      </w:r>
    </w:p>
    <w:p>
      <w:pPr>
        <w:jc w:val="left"/>
      </w:pPr>
      <w:r>
        <w:t>EuGH, Urteil vom 04.05.2023, Rs. C-300/21 (UI/Österreichische Post) — der EuGH hat jedoch gleichzeitig betont, dass nicht jeder Verstoß automatisch Schadensersatz auslöst; es muss ein tatsächlich erlittener Schaden vorliegen:</w:t>
      </w:r>
    </w:p>
    <w:p>
      <w:pPr>
        <w:ind w:left="567"/>
      </w:pPr>
      <w:r>
        <w:rPr>
          <w:i/>
        </w:rPr>
        <w:t>„[Der] bloße Verstoß gegen die DSGVO reicht für sich genommen nicht aus, um einen Schadensersatzanspruch nach Art. 82 zu begründen."</w:t>
      </w:r>
    </w:p>
    <w:p>
      <w:pPr>
        <w:jc w:val="left"/>
      </w:pPr>
      <w:r>
        <w:t>Quelle: EUR-Lex — EuGH Rs. C-300/21</w:t>
      </w:r>
    </w:p>
    <w:p/>
    <w:p>
      <w:pPr>
        <w:pStyle w:val="Heading2"/>
      </w:pPr>
      <w:r>
        <w:rPr>
          <w:rFonts w:ascii="Times New Roman" w:hAnsi="Times New Roman"/>
        </w:rPr>
        <w:t>Anwendung auf den Vorliegenden Fall</w:t>
      </w:r>
    </w:p>
    <w:p>
      <w:pPr>
        <w:jc w:val="left"/>
      </w:pPr>
      <w:r>
        <w:rPr>
          <w:b/>
        </w:rPr>
        <w:t>Schritt 1 — Verstoß:</w:t>
      </w:r>
      <w:r>
        <w:t xml:space="preserve"> Verletzung Art. 5 Abs. 1 lit. f DSGVO (Integrität und Vertraulichkeit) sowie Art. 32 DSGVO (unzureichende technische Maßnahmen, da kein DLP-Filter vorhanden). Verstoß liegt vor.</w:t>
      </w:r>
    </w:p>
    <w:p>
      <w:pPr>
        <w:jc w:val="left"/>
      </w:pPr>
      <w:r>
        <w:rPr>
          <w:b/>
        </w:rPr>
        <w:t>Schritt 2 — Schaden RAin Tannenkamp:</w:t>
      </w:r>
    </w:p>
    <w:p>
      <w:pPr>
        <w:pStyle w:val="ListBullet"/>
      </w:pPr>
      <w:r>
        <w:t>Subjektives Unsicherheitsgefühl angesichts des Bedrohungshinweises von Markus Trenkler: realer immaterieller Schaden</w:t>
      </w:r>
    </w:p>
    <w:p>
      <w:pPr>
        <w:pStyle w:val="ListBullet"/>
      </w:pPr>
      <w:r>
        <w:t>Zeitaufwand für Schutzmaßnahmen (Überprüfung des Schlosses, Überlegung zur Ummeldung): geringfügiger materieller Aufwand</w:t>
      </w:r>
    </w:p>
    <w:p>
      <w:pPr>
        <w:pStyle w:val="ListBullet"/>
      </w:pPr>
      <w:r>
        <w:t>Kein nachgewiesener Körperschaden, kein Vermögensschaden</w:t>
      </w:r>
    </w:p>
    <w:p>
      <w:pPr>
        <w:jc w:val="left"/>
      </w:pPr>
      <w:r>
        <w:rPr>
          <w:b/>
        </w:rPr>
        <w:t>Schritt 3 — Kausalität:</w:t>
      </w:r>
      <w:r>
        <w:t xml:space="preserve"> Direkte Kausalität zwischen E-Mail-Panne und Kontrollverlust über die Adresse gegeben.</w:t>
      </w:r>
    </w:p>
    <w:p>
      <w:pPr>
        <w:jc w:val="left"/>
      </w:pPr>
      <w:r>
        <w:rPr>
          <w:b/>
        </w:rPr>
        <w:t>Ergebnis:</w:t>
      </w:r>
      <w:r>
        <w:t xml:space="preserve"> Ein Schadensersatzanspruch ist dem Grunde nach denkbar. Die Höhe eines Anspruchs für immateriellen Schaden liegt nach bisheriger Rechtsprechung in Deutschland für einfache Datenpannen typischerweise zwischen 500 und 3.000 Euro.</w:t>
      </w:r>
    </w:p>
    <w:p/>
    <w:p>
      <w:pPr>
        <w:pStyle w:val="Heading2"/>
      </w:pPr>
      <w:r>
        <w:rPr>
          <w:rFonts w:ascii="Times New Roman" w:hAnsi="Times New Roman"/>
        </w:rPr>
        <w:t>Haftungsbefreiung nach Art. 82 Abs. 3 DSGVO</w:t>
      </w:r>
    </w:p>
    <w:p>
      <w:pPr>
        <w:ind w:left="567"/>
      </w:pPr>
      <w:r>
        <w:rPr>
          <w:i/>
        </w:rPr>
        <w:t>Der Verantwortliche oder der Auftragsverarbeiter wird von der Haftung gemäß Absatz 2 befreit, wenn er nachweist, dass er in keinerlei Hinsicht für den Umstand, durch den der Schaden eingetreten ist, verantwortlich ist.</w:t>
      </w:r>
    </w:p>
    <w:p>
      <w:pPr>
        <w:jc w:val="left"/>
      </w:pPr>
      <w:r>
        <w:t>Die Kanzlei kann sich nicht vollständig befreien: das Fehlen technischer Schutzmaßnahmen (kein DLP, kein Vier-Augen-Prinzip) ist ihr zuzurechnen.</w:t>
      </w:r>
    </w:p>
    <w:p/>
    <w:p>
      <w:pPr>
        <w:pStyle w:val="Heading2"/>
      </w:pPr>
      <w:r>
        <w:rPr>
          <w:rFonts w:ascii="Times New Roman" w:hAnsi="Times New Roman"/>
        </w:rPr>
        <w:t>Praktische Bewertung</w:t>
      </w:r>
    </w:p>
    <w:p>
      <w:pPr>
        <w:jc w:val="left"/>
      </w:pPr>
      <w:r>
        <w:t>RAin Tannenkamp ist Arbeitnehmerin der Kanzlei. Ein Schadensersatzanspruch gegen den Arbeitgeber ist rechtlich möglich, aber in der Praxis eine erhebliche Belastung des Arbeitsverhältnisses. Nach internem Gespräch hat sie signalisiert, keinen Anspruch geltend machen zu wollen, sofern die Kanzlei die technischen Schutzmaßnahmen verbessert und ihre Adresse aus allen Mandatsdaten entfernt.</w:t>
      </w:r>
    </w:p>
    <w:p/>
    <w:p>
      <w:pPr>
        <w:pStyle w:val="Heading2"/>
      </w:pPr>
      <w:r>
        <w:rPr>
          <w:rFonts w:ascii="Times New Roman" w:hAnsi="Times New Roman"/>
        </w:rPr>
        <w:t>Quellen</w:t>
      </w:r>
    </w:p>
    <w:p>
      <w:pPr>
        <w:pStyle w:val="ListBullet"/>
      </w:pPr>
      <w:r>
        <w:t>Art. 82 DSGVO — EUR-Lex</w:t>
      </w:r>
    </w:p>
    <w:p>
      <w:pPr>
        <w:pStyle w:val="ListBullet"/>
      </w:pPr>
      <w:r>
        <w:t>Art. 5 DSGVO — EUR-Lex</w:t>
      </w:r>
    </w:p>
    <w:p>
      <w:pPr>
        <w:pStyle w:val="ListBullet"/>
      </w:pPr>
      <w:r>
        <w:t>EuGH C-300/21, Urteil 04.05.2023 — EUR-Lex</w:t>
      </w:r>
    </w:p>
    <w:p/>
    <w:p>
      <w:pPr>
        <w:jc w:val="left"/>
      </w:pPr>
      <w:r>
        <w:t>Bearbeitungsstand: 22.04.2026 — RA Dr. Volkard Kröll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