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Mandantenbeschwerde bei der RAK Frankfurt — § 73 BRAO</w:t>
      </w:r>
    </w:p>
    <w:p>
      <w:pPr>
        <w:jc w:val="left"/>
      </w:pPr>
      <w:r>
        <w:t>Beschwerde Markus Trenkler vom 15.03.2026 wegen unprofessioneller Sprache</w:t>
      </w:r>
    </w:p>
    <w:p/>
    <w:p>
      <w:pPr>
        <w:pStyle w:val="Heading2"/>
      </w:pPr>
      <w:r>
        <w:rPr>
          <w:rFonts w:ascii="Times New Roman" w:hAnsi="Times New Roman"/>
        </w:rPr>
        <w:t>Gesetzestext</w:t>
      </w:r>
    </w:p>
    <w:p>
      <w:pPr>
        <w:jc w:val="left"/>
      </w:pPr>
      <w:r>
        <w:t>§ 73 BRAO (Aufgaben der Rechtsanwaltskammer):</w:t>
      </w:r>
    </w:p>
    <w:p>
      <w:pPr>
        <w:ind w:left="567"/>
      </w:pPr>
      <w:r>
        <w:rPr>
          <w:i/>
        </w:rPr>
        <w:t>(2) Die Rechtsanwaltskammer hat [...] 4. Beschwerden nachzugehen, die ihr über das Verhalten von Rechtsanwälten zugehen; [...] 5. auf Antrag von Beteiligten bei Streitigkeiten unter Rechtsanwälten oder zwischen Rechtsanwälten und Dritten zu vermitteln.</w:t>
      </w:r>
    </w:p>
    <w:p>
      <w:pPr>
        <w:jc w:val="left"/>
      </w:pPr>
      <w:r>
        <w:t>Quelle: dejure.org — § 73 BRAO</w:t>
      </w:r>
    </w:p>
    <w:p/>
    <w:p>
      <w:pPr>
        <w:pStyle w:val="Heading2"/>
      </w:pPr>
      <w:r>
        <w:rPr>
          <w:rFonts w:ascii="Times New Roman" w:hAnsi="Times New Roman"/>
        </w:rPr>
        <w:t>Inhalt der Beschwerde</w:t>
      </w:r>
    </w:p>
    <w:p>
      <w:pPr>
        <w:jc w:val="left"/>
      </w:pPr>
      <w:r>
        <w:t>Markus Trenkler hat am 15. März 2026 eine formlose Beschwerde bei der Rechtsanwaltskammer Frankfurt am Main eingereicht. Die Beschwerde trägt das Aktenzeichen RAK-F 188/26.</w:t>
      </w:r>
    </w:p>
    <w:p>
      <w:pPr>
        <w:pStyle w:val="Heading3"/>
      </w:pPr>
      <w:r>
        <w:rPr>
          <w:rFonts w:ascii="Times New Roman" w:hAnsi="Times New Roman"/>
        </w:rPr>
        <w:t>Beschwerdegründe laut Eingabe Trenkler</w:t>
      </w:r>
    </w:p>
    <w:p>
      <w:pPr>
        <w:pStyle w:val="ListNumber"/>
      </w:pPr>
      <w:r>
        <w:rPr>
          <w:b/>
        </w:rPr>
        <w:t>Unprofessionelle Sprache:</w:t>
      </w:r>
      <w:r>
        <w:t xml:space="preserve"> Trenkler gibt an, Kenntnis von der E-Mail vom 14.02.2026 erlangt zu haben (durch wen, ist unklar — möglicherweise durch RA Quistorf-Schwertmann). Er kritisiert den Nachtversand und die Formulierungen als beschämend für eine Kanzlei, die seine Erbengemeinschaft vertritt.</w:t>
      </w:r>
    </w:p>
    <w:p>
      <w:pPr>
        <w:pStyle w:val="ListNumber"/>
      </w:pPr>
      <w:r>
        <w:rPr>
          <w:b/>
        </w:rPr>
        <w:t>Verletzung des Sachlichkeitsgebots:</w:t>
      </w:r>
      <w:r>
        <w:t xml:space="preserve"> Trenkler zitiert ausdrücklich § 43a Abs. 3 BRAO und bezeichnet das Vorgehen von RA Dr. Kröll als „unprofessionell, rufschädigend und schädlich für das Mandat."</w:t>
      </w:r>
    </w:p>
    <w:p>
      <w:pPr>
        <w:pStyle w:val="ListNumber"/>
      </w:pPr>
      <w:r>
        <w:rPr>
          <w:b/>
        </w:rPr>
        <w:t>Datenpanne:</w:t>
      </w:r>
      <w:r>
        <w:t xml:space="preserve"> Trenkler erwähnt die Datenpanne vom 08.03.2026 und bezeichnet sie als „grobe Fahrlässigkeit." Er beanstandet, dass ihm die Adresse von RAin Tannenkamp nun bekannt ist, obwohl er dies nicht wollte — und er verstehe nicht, wie so etwas passieren könne.</w:t>
      </w:r>
    </w:p>
    <w:p>
      <w:pPr>
        <w:pStyle w:val="ListNumber"/>
      </w:pPr>
      <w:r>
        <w:rPr>
          <w:b/>
        </w:rPr>
        <w:t>Verfahrensverzögerung:</w:t>
      </w:r>
      <w:r>
        <w:t xml:space="preserve"> Trenkler behauptet, das Mandat werde seit 18 Monaten nicht hinreichend vorangetrieben; die Strategie von RA Dr. Kröll koste die Erbengemeinschaft Geld ohne Ergebnis.</w:t>
      </w:r>
    </w:p>
    <w:p/>
    <w:p>
      <w:pPr>
        <w:pStyle w:val="Heading2"/>
      </w:pPr>
      <w:r>
        <w:rPr>
          <w:rFonts w:ascii="Times New Roman" w:hAnsi="Times New Roman"/>
        </w:rPr>
        <w:t>Zuständigkeit der RAK Frankfurt</w:t>
      </w:r>
    </w:p>
    <w:p>
      <w:pPr>
        <w:jc w:val="left"/>
      </w:pPr>
      <w:r>
        <w:t>Die RAK Frankfurt ist zuständig, weil RA Dr. Kröll und RAin Tannenkamp bei der RAK Frankfurt zugelassen sind (§ 27 BRAO). Die RAK kann nach § 74 BRAO eine Rüge aussprechen oder die Sache an das Anwaltsgericht abgeben.</w:t>
      </w:r>
    </w:p>
    <w:p/>
    <w:p>
      <w:pPr>
        <w:pStyle w:val="Heading2"/>
      </w:pPr>
      <w:r>
        <w:rPr>
          <w:rFonts w:ascii="Times New Roman" w:hAnsi="Times New Roman"/>
        </w:rPr>
        <w:t>Verfahrensablauf</w:t>
      </w:r>
    </w:p>
    <w:p>
      <w:pPr>
        <w:pStyle w:val="ListNumber"/>
      </w:pPr>
      <w:r>
        <w:t>Eingang Beschwerde: 15.03.2026</w:t>
      </w:r>
    </w:p>
    <w:p>
      <w:pPr>
        <w:pStyle w:val="ListNumber"/>
      </w:pPr>
      <w:r>
        <w:t>Aktenzeichen vergeben: 16.03.2026</w:t>
      </w:r>
    </w:p>
    <w:p>
      <w:pPr>
        <w:pStyle w:val="ListNumber"/>
      </w:pPr>
      <w:r>
        <w:t>Anhörungsschreiben RAK an Kanzlei: 22.03.2026 (vgl. EML 2026-03-22)</w:t>
      </w:r>
    </w:p>
    <w:p>
      <w:pPr>
        <w:pStyle w:val="ListNumber"/>
      </w:pPr>
      <w:r>
        <w:t>Frist zur Stellungnahme: 30 Tage (bis 22.04.2026)</w:t>
      </w:r>
    </w:p>
    <w:p>
      <w:pPr>
        <w:pStyle w:val="ListNumber"/>
      </w:pPr>
      <w:r>
        <w:t>Stellungnahme der Kanzlei: abgegeben am 05.04.2026 (vgl. Aktenstück stellungnahme_rak_frankfurt_188_26.docx)</w:t>
      </w:r>
    </w:p>
    <w:p/>
    <w:p>
      <w:pPr>
        <w:pStyle w:val="Heading2"/>
      </w:pPr>
      <w:r>
        <w:rPr>
          <w:rFonts w:ascii="Times New Roman" w:hAnsi="Times New Roman"/>
        </w:rPr>
        <w:t>Legitimität der Beschwerde</w:t>
      </w:r>
    </w:p>
    <w:p>
      <w:pPr>
        <w:jc w:val="left"/>
      </w:pPr>
      <w:r>
        <w:t>Das Beschwerderecht nach § 73 BRAO steht grundsätzlich jedem offen, der von dem Verhalten eines Rechtsanwalts betroffen ist. Markus Trenkler ist als Mitglied der Erbengemeinschaft und damit als Mandant der Kanzlei aktivlegitimiert.</w:t>
      </w:r>
    </w:p>
    <w:p>
      <w:pPr>
        <w:jc w:val="left"/>
      </w:pPr>
      <w:r>
        <w:t>Die Beschwerde ist formal zulässig. Inhaltlich sind die Beschwerdepunkte teilweise berechtigt (Sachlichkeitsverstoß bei der E-Mail), teilweise sachlich falsch (die Verfahrensverzögerung liegt überwiegend am Verhalten der Gegenseite, nicht an der Kanzlei) und teilweise widersprüchlich (Trenkler selbst hat durch seinen Telefonat-Druck am 14.02.2026 den Eskalationspunkt ausgelöst).</w:t>
      </w:r>
    </w:p>
    <w:p/>
    <w:p>
      <w:pPr>
        <w:pStyle w:val="Heading2"/>
      </w:pPr>
      <w:r>
        <w:rPr>
          <w:rFonts w:ascii="Times New Roman" w:hAnsi="Times New Roman"/>
        </w:rPr>
        <w:t>Interne Reaktion der Kanzlei</w:t>
      </w:r>
    </w:p>
    <w:p>
      <w:pPr>
        <w:jc w:val="left"/>
      </w:pPr>
      <w:r>
        <w:t>RA Dr. Kröll hat die Beschwerde zunächst als „Frechheit" bezeichnet und intern eine Gegenstrategie diskutiert. Nach Beratung mit dem kanzleiinternen Datenschutzbeauftragten und einem befreundeten Berufsrechtsexperten hat er sich entschieden:</w:t>
      </w:r>
    </w:p>
    <w:p>
      <w:pPr>
        <w:pStyle w:val="ListBullet"/>
      </w:pPr>
      <w:r>
        <w:t>Die Beschwerde ernst zu nehmen und sachlich zu beantworten</w:t>
      </w:r>
    </w:p>
    <w:p>
      <w:pPr>
        <w:pStyle w:val="ListBullet"/>
      </w:pPr>
      <w:r>
        <w:t>Den Sachlichkeitsverstoß einzuräumen und als einmaligen Ausrutscher unter außergewöhnlichem Druck darzustellen</w:t>
      </w:r>
    </w:p>
    <w:p>
      <w:pPr>
        <w:pStyle w:val="ListBullet"/>
      </w:pPr>
      <w:r>
        <w:t>Die Datenpanne transparent zu beschreiben und auf die korrekte Meldung an den HBDI hinzuweisen</w:t>
      </w:r>
    </w:p>
    <w:p>
      <w:pPr>
        <w:pStyle w:val="ListBullet"/>
      </w:pPr>
      <w:r>
        <w:t>Die Verfahrensverzögerungsvorwürfe mit einer vollständigen Korrespondenzchronologie zu widerlegen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73 BRAO — dejure.org</w:t>
      </w:r>
    </w:p>
    <w:p>
      <w:pPr>
        <w:pStyle w:val="ListBullet"/>
      </w:pPr>
      <w:r>
        <w:t>§ 74 BRAO — dejure.org</w:t>
      </w:r>
    </w:p>
    <w:p>
      <w:pPr>
        <w:pStyle w:val="ListBullet"/>
      </w:pPr>
      <w:r>
        <w:t>§ 27 BRAO — dejure.org</w:t>
      </w:r>
    </w:p>
    <w:p/>
    <w:p>
      <w:pPr>
        <w:jc w:val="left"/>
      </w:pPr>
      <w:r>
        <w:t>Bearbeitungsstand: 22.04.2026 — RA Dr. Volkard Kröll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