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Pflichtwidrige Aktenführung — § 50 BRAO</w:t>
      </w:r>
    </w:p>
    <w:p>
      <w:pPr>
        <w:jc w:val="left"/>
      </w:pPr>
      <w:r>
        <w:t>Dokumentationsmängel im Mandatsverlauf und ihre berufsrechtliche Relevanz</w:t>
      </w:r>
    </w:p>
    <w:p/>
    <w:p>
      <w:pPr>
        <w:pStyle w:val="Heading2"/>
      </w:pPr>
      <w:r>
        <w:rPr>
          <w:rFonts w:ascii="Times New Roman" w:hAnsi="Times New Roman"/>
        </w:rPr>
        <w:t>Gesetzestext</w:t>
      </w:r>
    </w:p>
    <w:p>
      <w:pPr>
        <w:jc w:val="left"/>
      </w:pPr>
      <w:r>
        <w:t>§ 50 BRAO (Handakten):</w:t>
      </w:r>
    </w:p>
    <w:p>
      <w:pPr>
        <w:ind w:left="567"/>
      </w:pPr>
      <w:r>
        <w:rPr>
          <w:i/>
        </w:rPr>
        <w:t>(1) Der Rechtsanwalt muss durch das Führen von Handakten ein geordnetes Bild über die von ihm entfaltete Tätigkeit geben können. Er hat die Handakten für die Dauer von sechs Jahren aufzubewahren. Die Frist beginnt mit Ablauf des Kalenderjahres, in dem der Auftrag beendet wird.</w:t>
      </w:r>
    </w:p>
    <w:p>
      <w:pPr>
        <w:ind w:left="567"/>
      </w:pPr>
    </w:p>
    <w:p>
      <w:pPr>
        <w:ind w:left="567"/>
      </w:pPr>
      <w:r>
        <w:rPr>
          <w:i/>
        </w:rPr>
        <w:t>(2) Der Rechtsanwalt kann seinem Auftraggeber die Herausgabe von Originalunterlagen des Auftraggebers, die er für diesen in Verwahrung genommen hat, nicht wegen seiner Vergütungsansprüche verweigern.</w:t>
      </w:r>
    </w:p>
    <w:p>
      <w:pPr>
        <w:jc w:val="left"/>
      </w:pPr>
      <w:r>
        <w:t>Quelle: dejure.org — § 50 BRAO</w:t>
      </w:r>
    </w:p>
    <w:p/>
    <w:p>
      <w:pPr>
        <w:pStyle w:val="Heading2"/>
      </w:pPr>
      <w:r>
        <w:rPr>
          <w:rFonts w:ascii="Times New Roman" w:hAnsi="Times New Roman"/>
        </w:rPr>
        <w:t>Dokumentationsmängel im Mandat Aufhauser-Trenkler</w:t>
      </w:r>
    </w:p>
    <w:p>
      <w:pPr>
        <w:pStyle w:val="Heading3"/>
      </w:pPr>
      <w:r>
        <w:rPr>
          <w:rFonts w:ascii="Times New Roman" w:hAnsi="Times New Roman"/>
        </w:rPr>
        <w:t>Mangel 1: Fehlende Protokollierung des Telefonats vom 14.02.2026</w:t>
      </w:r>
    </w:p>
    <w:p>
      <w:pPr>
        <w:jc w:val="left"/>
      </w:pPr>
      <w:r>
        <w:t>Das Telefonat zwischen RA Dr. Kröll und Markus Trenkler (Dauer ca. 3 Stunden, Abend des 14.02.2026), das unmittelbar zur emotionalen E-Mail führte, ist in der Akte nicht als Gesprächsprotokoll hinterlegt. Es existiert lediglich eine knappe Notiz im Kalender: „Trenkler — 3h — sehr schwierig." Eine vollständige Protokollierung hätte Inhalt, Ton und die ausgeübten Druckmittel Trenklers dokumentiert.</w:t>
      </w:r>
    </w:p>
    <w:p>
      <w:pPr>
        <w:jc w:val="left"/>
      </w:pPr>
      <w:r>
        <w:rPr>
          <w:b/>
        </w:rPr>
        <w:t>Berufsrechtliche Relevanz:</w:t>
      </w:r>
      <w:r>
        <w:t xml:space="preserve"> § 50 BRAO erfordert, dass die Handakte ein „geordnetes Bild" der Tätigkeit gibt. Wesentliche Mandantenkommunikation (insbesondere Gespräche, in denen der Mandant Druck ausübt oder Weisungen erteilt) gehört zur dokumentationspflichtigen Tätigkeit.</w:t>
      </w:r>
    </w:p>
    <w:p>
      <w:pPr>
        <w:pStyle w:val="Heading3"/>
      </w:pPr>
      <w:r>
        <w:rPr>
          <w:rFonts w:ascii="Times New Roman" w:hAnsi="Times New Roman"/>
        </w:rPr>
        <w:t>Mangel 2: Versandprotokoll der E-Mail vom 14.02.2026</w:t>
      </w:r>
    </w:p>
    <w:p>
      <w:pPr>
        <w:jc w:val="left"/>
      </w:pPr>
      <w:r>
        <w:t>Die E-Mail wurde von einer privaten Adresse versandt. Sie ist daher nicht automatisch im Kanzlei-Outlook-System archiviert. Erst durch Screenshot-Sicherung und Nacharchivierung am Morgen des 14.02.2026 durch RAin Tannenkamp liegt die E-Mail in der Akte.</w:t>
      </w:r>
    </w:p>
    <w:p>
      <w:pPr>
        <w:jc w:val="left"/>
      </w:pPr>
      <w:r>
        <w:rPr>
          <w:b/>
        </w:rPr>
        <w:t>Berufsrechtliche Relevanz:</w:t>
      </w:r>
      <w:r>
        <w:t xml:space="preserve"> Die Kanzlei muss sicherstellen, dass alle mandatsbezogenen Korrespondenzen — auch solche, die von privaten Geräten aus versandt werden — in die Mandatsakte aufgenommen werden.</w:t>
      </w:r>
    </w:p>
    <w:p>
      <w:pPr>
        <w:pStyle w:val="Heading3"/>
      </w:pPr>
      <w:r>
        <w:rPr>
          <w:rFonts w:ascii="Times New Roman" w:hAnsi="Times New Roman"/>
        </w:rPr>
        <w:t>Mangel 3: Fehlende schriftliche Weisungen der Erben</w:t>
      </w:r>
    </w:p>
    <w:p>
      <w:pPr>
        <w:jc w:val="left"/>
      </w:pPr>
      <w:r>
        <w:t>Von den zehn Erben existieren schriftliche Weisungen für die Verhandlungsstrategie nur von Hildegard Aufhauser (als Hauptbevollmächtigte). Die widerstreitenden Interessen der übrigen Erben — insbesondere Markus Trenklers aggressive Linie — sind nie formal schriftlich als Mandat-Weisung oder -Ablehnung fixiert worden.</w:t>
      </w:r>
    </w:p>
    <w:p/>
    <w:p>
      <w:pPr>
        <w:pStyle w:val="Heading2"/>
      </w:pPr>
      <w:r>
        <w:rPr>
          <w:rFonts w:ascii="Times New Roman" w:hAnsi="Times New Roman"/>
        </w:rPr>
        <w:t>Digitale Aktenführung</w:t>
      </w:r>
    </w:p>
    <w:p>
      <w:pPr>
        <w:jc w:val="left"/>
      </w:pPr>
      <w:r>
        <w:t>Die Kanzlei Rosenmühle &amp; Partner führt seit 2019 eine digitale Akte (Software: RA-Micro, Frankfurt-Server). Die E-Mail-Integration ist jedoch nicht vollständig: private E-Mail-Konten der Partner sind nicht in die Mandantenakte integriert.</w:t>
      </w:r>
    </w:p>
    <w:p>
      <w:pPr>
        <w:jc w:val="left"/>
      </w:pPr>
      <w:r>
        <w:t>Handlungsbedarf: vollständige Integration aller mandatsbezogenen Kommunikationskanäle in das Kanzleisystem, einschließlich eines expliziten Verbots der Nutzung privater E-Mail-Konten für mandatsbezogene Korrespondenz.</w:t>
      </w:r>
    </w:p>
    <w:p/>
    <w:p>
      <w:pPr>
        <w:pStyle w:val="Heading2"/>
      </w:pPr>
      <w:r>
        <w:rPr>
          <w:rFonts w:ascii="Times New Roman" w:hAnsi="Times New Roman"/>
        </w:rPr>
        <w:t>Aufbewahrungsfristen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Dokumenttyp</w:t>
            </w:r>
          </w:p>
        </w:tc>
        <w:tc>
          <w:tcPr>
            <w:tcW w:type="dxa" w:w="4536"/>
          </w:tcPr>
          <w:p>
            <w:r>
              <w:rPr>
                <w:rFonts w:ascii="Times New Roman" w:hAnsi="Times New Roman"/>
                <w:b/>
                <w:sz w:val="20"/>
              </w:rPr>
              <w:t>Aufbewahrungsfrist</w:t>
            </w:r>
          </w:p>
        </w:tc>
      </w:tr>
      <w:tr>
        <w:tc>
          <w:tcPr>
            <w:tcW w:type="dxa" w:w="4536"/>
          </w:tcPr>
          <w:p>
            <w:r>
              <w:rPr>
                <w:rFonts w:ascii="Times New Roman" w:hAnsi="Times New Roman"/>
                <w:sz w:val="20"/>
              </w:rPr>
              <w:t>Handakten allgemein</w:t>
            </w:r>
          </w:p>
        </w:tc>
        <w:tc>
          <w:tcPr>
            <w:tcW w:type="dxa" w:w="4536"/>
          </w:tcPr>
          <w:p>
            <w:r>
              <w:rPr>
                <w:rFonts w:ascii="Times New Roman" w:hAnsi="Times New Roman"/>
                <w:sz w:val="20"/>
              </w:rPr>
              <w:t>6 Jahre nach Mandatsende (§ 50 Abs. 1 BRAO)</w:t>
            </w:r>
          </w:p>
        </w:tc>
      </w:tr>
      <w:tr>
        <w:tc>
          <w:tcPr>
            <w:tcW w:type="dxa" w:w="4536"/>
          </w:tcPr>
          <w:p>
            <w:r>
              <w:rPr>
                <w:rFonts w:ascii="Times New Roman" w:hAnsi="Times New Roman"/>
                <w:sz w:val="20"/>
              </w:rPr>
              <w:t>Buchführungsunterlagen</w:t>
            </w:r>
          </w:p>
        </w:tc>
        <w:tc>
          <w:tcPr>
            <w:tcW w:type="dxa" w:w="4536"/>
          </w:tcPr>
          <w:p>
            <w:r>
              <w:rPr>
                <w:rFonts w:ascii="Times New Roman" w:hAnsi="Times New Roman"/>
                <w:sz w:val="20"/>
              </w:rPr>
              <w:t>10 Jahre (§ 257 HGB, § 147 AO)</w:t>
            </w:r>
          </w:p>
        </w:tc>
      </w:tr>
      <w:tr>
        <w:tc>
          <w:tcPr>
            <w:tcW w:type="dxa" w:w="4536"/>
          </w:tcPr>
          <w:p>
            <w:r>
              <w:rPr>
                <w:rFonts w:ascii="Times New Roman" w:hAnsi="Times New Roman"/>
                <w:sz w:val="20"/>
              </w:rPr>
              <w:t>DSGVO-Datenpannen-Dokumentation</w:t>
            </w:r>
          </w:p>
        </w:tc>
        <w:tc>
          <w:tcPr>
            <w:tcW w:type="dxa" w:w="4536"/>
          </w:tcPr>
          <w:p>
            <w:r>
              <w:rPr>
                <w:rFonts w:ascii="Times New Roman" w:hAnsi="Times New Roman"/>
                <w:sz w:val="20"/>
              </w:rPr>
              <w:t>Ohne ausdrückliche Frist; mindestens bis Abschluss Aufsichtsverfahren</w:t>
            </w:r>
          </w:p>
        </w:tc>
      </w:tr>
      <w:tr>
        <w:tc>
          <w:tcPr>
            <w:tcW w:type="dxa" w:w="4536"/>
          </w:tcPr>
          <w:p>
            <w:r>
              <w:rPr>
                <w:rFonts w:ascii="Times New Roman" w:hAnsi="Times New Roman"/>
                <w:sz w:val="20"/>
              </w:rPr>
              <w:t>E-Mails (steuerrelevant)</w:t>
            </w:r>
          </w:p>
        </w:tc>
        <w:tc>
          <w:tcPr>
            <w:tcW w:type="dxa" w:w="4536"/>
          </w:tcPr>
          <w:p>
            <w:r>
              <w:rPr>
                <w:rFonts w:ascii="Times New Roman" w:hAnsi="Times New Roman"/>
                <w:sz w:val="20"/>
              </w:rPr>
              <w:t>10 Jahre (§ 147 AO)</w:t>
            </w:r>
          </w:p>
        </w:tc>
      </w:tr>
    </w:tbl>
    <w:p/>
    <w:p>
      <w:pPr>
        <w:pStyle w:val="Heading2"/>
      </w:pPr>
      <w:r>
        <w:rPr>
          <w:rFonts w:ascii="Times New Roman" w:hAnsi="Times New Roman"/>
        </w:rPr>
        <w:t>Empfehlungen</w:t>
      </w:r>
    </w:p>
    <w:p>
      <w:pPr>
        <w:pStyle w:val="ListNumber"/>
      </w:pPr>
      <w:r>
        <w:rPr>
          <w:b/>
        </w:rPr>
        <w:t>Telefonprotokoll-Pflicht einführen:</w:t>
      </w:r>
      <w:r>
        <w:t xml:space="preserve"> Alle Telefonate von mehr als 15 Minuten mit Mandanten oder Gegenseite sind zu protokollieren und innerhalb von 24 Stunden in die Akte einzupflegen.</w:t>
      </w:r>
    </w:p>
    <w:p>
      <w:pPr>
        <w:pStyle w:val="ListNumber"/>
      </w:pPr>
      <w:r>
        <w:rPr>
          <w:b/>
        </w:rPr>
        <w:t>Private E-Mail-Verbot:</w:t>
      </w:r>
      <w:r>
        <w:t xml:space="preserve"> Kanzleianweisung, dass mandatsbezogene E-Mails ausschließlich über das Kanzleisystem zu versenden sind.</w:t>
      </w:r>
    </w:p>
    <w:p>
      <w:pPr>
        <w:pStyle w:val="ListNumber"/>
      </w:pPr>
      <w:r>
        <w:rPr>
          <w:b/>
        </w:rPr>
        <w:t>Weisungsprotokoll für Erbengemeinschaften:</w:t>
      </w:r>
      <w:r>
        <w:t xml:space="preserve"> Bei Mandaten mit mehreren Mandanten (Erbengemeinschaft, GbR, Konsortien) ist eine schriftliche Weisung jedes Mandanten zu den wesentlichen Entscheidungen der Mandatsführung zu dokumentieren.</w:t>
      </w:r>
    </w:p>
    <w:p/>
    <w:p>
      <w:pPr>
        <w:pStyle w:val="Heading2"/>
      </w:pPr>
      <w:r>
        <w:rPr>
          <w:rFonts w:ascii="Times New Roman" w:hAnsi="Times New Roman"/>
        </w:rPr>
        <w:t>Quellen</w:t>
      </w:r>
    </w:p>
    <w:p>
      <w:pPr>
        <w:pStyle w:val="ListBullet"/>
      </w:pPr>
      <w:r>
        <w:t>§ 50 BRAO — dejure.org</w:t>
      </w:r>
    </w:p>
    <w:p>
      <w:pPr>
        <w:pStyle w:val="ListBullet"/>
      </w:pPr>
      <w:r>
        <w:t>§ 257 HGB — dejure.org</w:t>
      </w:r>
    </w:p>
    <w:p>
      <w:pPr>
        <w:pStyle w:val="ListBullet"/>
      </w:pPr>
      <w:r>
        <w:t>§ 147 AO — dejure.org</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