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E-Mail-Systeme und Audit — Kanzlei Outlook 365</w:t>
      </w:r>
    </w:p>
    <w:p>
      <w:pPr>
        <w:jc w:val="left"/>
      </w:pPr>
      <w:r>
        <w:t>Technischer Befund und Maßnahmenplan nach den Vorfällen vom Februar/März 2026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Die Kanzlei Rosenmühle &amp; Partner betreibt Microsoft 365 Business Premium (Outlook 365) als primäre Kommunikationsplattform. Alle 18 Mitarbeiter (7 Rechtsanwälte, 3 Referendare, 8 Verwaltungsmitarbeiter) sind im selben Tenant konfiguriert. Der IT-Betrieb erfolgt durch den externen Dienstleister NetWork-Recht GmbH, Frankfurt.</w:t>
      </w:r>
    </w:p>
    <w:p/>
    <w:p>
      <w:pPr>
        <w:pStyle w:val="Heading2"/>
      </w:pPr>
      <w:r>
        <w:rPr>
          <w:rFonts w:ascii="Times New Roman" w:hAnsi="Times New Roman"/>
        </w:rPr>
        <w:t>Identifizierte technische Schwachstellen</w:t>
      </w:r>
    </w:p>
    <w:p>
      <w:pPr>
        <w:pStyle w:val="Heading3"/>
      </w:pPr>
      <w:r>
        <w:rPr>
          <w:rFonts w:ascii="Times New Roman" w:hAnsi="Times New Roman"/>
        </w:rPr>
        <w:t>Schwachstelle 1: Keine Nachtzeitsperre für ausgehende externe E-Mails</w:t>
      </w:r>
    </w:p>
    <w:p>
      <w:pPr>
        <w:jc w:val="left"/>
      </w:pPr>
      <w:r>
        <w:t>Das System enthält keine Regel, die ausgehende E-Mails an externe Empfänger in der Zeit zwischen 21:00 und 07:00 Uhr automatisch zurückhält oder zur Überprüfung markiert. RA Dr. Kröll konnte die problematische E-Mail ungehindert um 01:47 Uhr versenden.</w:t>
      </w:r>
    </w:p>
    <w:p>
      <w:pPr>
        <w:jc w:val="left"/>
      </w:pPr>
      <w:r>
        <w:rPr>
          <w:b/>
        </w:rPr>
        <w:t>Status nach Audit:</w:t>
      </w:r>
      <w:r>
        <w:t xml:space="preserve"> Implementierung einer optionalen „Nacht-Quarantäne-Regel" (Outlook-Transport-Regel) für alle Partner-Accounts geplant. Die Regel würde E-Mails für 12 Stunden in einer Quarantäne-Queue halten und dem Absender eine Rückrufmöglichkeit geben.</w:t>
      </w:r>
    </w:p>
    <w:p>
      <w:pPr>
        <w:pStyle w:val="Heading3"/>
      </w:pPr>
      <w:r>
        <w:rPr>
          <w:rFonts w:ascii="Times New Roman" w:hAnsi="Times New Roman"/>
        </w:rPr>
        <w:t>Schwachstelle 2: Kein Data Loss Prevention (DLP)</w:t>
      </w:r>
    </w:p>
    <w:p>
      <w:pPr>
        <w:jc w:val="left"/>
      </w:pPr>
      <w:r>
        <w:t>Microsoft 365 enthält integrierte DLP-Policies, die sensible Daten (z.B. persönliche Adressen, IBAN, Personalausweisnummern) in ausgehenden E-Mails erkennen und den Versand blockieren oder zur Überprüfung markieren können. Diese Funktion war nicht aktiviert.</w:t>
      </w:r>
    </w:p>
    <w:p>
      <w:pPr>
        <w:jc w:val="left"/>
      </w:pPr>
      <w:r>
        <w:rPr>
          <w:b/>
        </w:rPr>
        <w:t>Status nach Audit:</w:t>
      </w:r>
      <w:r>
        <w:t xml:space="preserve"> DLP-Policy eingerichtet am 15.03.2026. Enthält Erkennungsregeln für Wohnadressen (Straßenmuster), IBAN und Sozialversicherungsnummern.</w:t>
      </w:r>
    </w:p>
    <w:p>
      <w:pPr>
        <w:pStyle w:val="Heading3"/>
      </w:pPr>
      <w:r>
        <w:rPr>
          <w:rFonts w:ascii="Times New Roman" w:hAnsi="Times New Roman"/>
        </w:rPr>
        <w:t>Schwachstelle 3: Fehlende Trennung privater und geschäftlicher E-Mail-Konten</w:t>
      </w:r>
    </w:p>
    <w:p>
      <w:pPr>
        <w:jc w:val="left"/>
      </w:pPr>
      <w:r>
        <w:t>RA Dr. Kröll nutzte sein privates Gmail-Konto für die Versendung der kritischen E-Mail. Dieses Konto ist weder im Mandatssystem noch im Outlook-Tenant der Kanzlei integriert.</w:t>
      </w:r>
    </w:p>
    <w:p>
      <w:pPr>
        <w:jc w:val="left"/>
      </w:pPr>
      <w:r>
        <w:rPr>
          <w:b/>
        </w:rPr>
        <w:t>Status nach Audit:</w:t>
      </w:r>
      <w:r>
        <w:t xml:space="preserve"> Kanzleirichtlinie „Kommunikation ausschließlich über Kanzleisysteme" erlassen (Datum: 22.03.2026). Unterschriften aller Partner eingeholt.</w:t>
      </w:r>
    </w:p>
    <w:p>
      <w:pPr>
        <w:pStyle w:val="Heading3"/>
      </w:pPr>
      <w:r>
        <w:rPr>
          <w:rFonts w:ascii="Times New Roman" w:hAnsi="Times New Roman"/>
        </w:rPr>
        <w:t>Schwachstelle 4: Fehlerhafter Verteiler-Anhang</w:t>
      </w:r>
    </w:p>
    <w:p>
      <w:pPr>
        <w:jc w:val="left"/>
      </w:pPr>
      <w:r>
        <w:t>Frau Bischoff hatte Zugriff auf ein geteiltes Verzeichnis mit internen Dokumenten (darunter das fehlerhafte Dokument mit der Adresse RAin Tannenkamps). Das externe Dokument und das interne Dokument hatten ähnliche Namen.</w:t>
      </w:r>
    </w:p>
    <w:p>
      <w:pPr>
        <w:jc w:val="left"/>
      </w:pPr>
      <w:r>
        <w:rPr>
          <w:b/>
        </w:rPr>
        <w:t>Status nach Audit:</w:t>
      </w:r>
      <w:r>
        <w:t xml:space="preserve"> Umbenennung aller internen Verzeichnisse auf strikte Namenskonvention (Präfix </w:t>
      </w:r>
      <w:r>
        <w:t>[INTERN]</w:t>
      </w:r>
      <w:r>
        <w:t>). Zugriffsbeschränkung für geteilte Dokumente nach Benutzerrolle.</w:t>
      </w:r>
    </w:p>
    <w:p/>
    <w:p>
      <w:pPr>
        <w:pStyle w:val="Heading2"/>
      </w:pPr>
      <w:r>
        <w:rPr>
          <w:rFonts w:ascii="Times New Roman" w:hAnsi="Times New Roman"/>
        </w:rPr>
        <w:t xml:space="preserve">Outlook-Add-in für das Plugin </w:t>
      </w:r>
      <w:r>
        <w:rPr>
          <w:rFonts w:ascii="Times New Roman" w:hAnsi="Times New Roman"/>
        </w:rPr>
        <w:t>email-umformulierer-berufsrecht</w:t>
      </w:r>
    </w:p>
    <w:p>
      <w:pPr>
        <w:jc w:val="left"/>
      </w:pPr>
      <w:r>
        <w:t xml:space="preserve">Im Rahmen des Audits wurde die Integration eines Outlook-Add-ins für das Plugin </w:t>
      </w:r>
      <w:r>
        <w:t>email-umformulierer-berufsrecht</w:t>
      </w:r>
      <w:r>
        <w:t xml:space="preserve"> evaluiert. Das Add-in würde:</w:t>
      </w:r>
    </w:p>
    <w:p>
      <w:pPr>
        <w:pStyle w:val="ListNumber"/>
      </w:pPr>
      <w:r>
        <w:t>Jede ausgehende E-Mail an externe Empfänger automatisch analysieren</w:t>
      </w:r>
    </w:p>
    <w:p>
      <w:pPr>
        <w:pStyle w:val="ListNumber"/>
      </w:pPr>
      <w:r>
        <w:t>Problematische Formulierungen (Stufen 1–3 gem. Aktenstück 06) markieren</w:t>
      </w:r>
    </w:p>
    <w:p>
      <w:pPr>
        <w:pStyle w:val="ListNumber"/>
      </w:pPr>
      <w:r>
        <w:t>Bei Stufe-1-Befunden einen Pflichtdialog auslösen: „Diese E-Mail enthält möglicherweise berufsrechtlich riskante Formulierungen. Möchten Sie die Umformulierungs-Vorschläge sehen?"</w:t>
      </w:r>
    </w:p>
    <w:p>
      <w:pPr>
        <w:pStyle w:val="ListNumber"/>
      </w:pPr>
      <w:r>
        <w:t>Bei Nachtversand (21:00–07:00 Uhr) einen zusätzlichen Warnhinweis geben</w:t>
      </w:r>
    </w:p>
    <w:p>
      <w:pPr>
        <w:jc w:val="left"/>
      </w:pPr>
      <w:r>
        <w:rPr>
          <w:b/>
        </w:rPr>
        <w:t>Status:</w:t>
      </w:r>
      <w:r>
        <w:t xml:space="preserve"> Technisches Konzept erstellt; Beschluss der Partner über Implementierung ausstehend.</w:t>
      </w:r>
    </w:p>
    <w:p/>
    <w:p>
      <w:pPr>
        <w:pStyle w:val="Heading2"/>
      </w:pPr>
      <w:r>
        <w:rPr>
          <w:rFonts w:ascii="Times New Roman" w:hAnsi="Times New Roman"/>
        </w:rPr>
        <w:t>Auditbefunde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Risikostufe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Nachtzeitschutz für E-Mail-Versand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Transport-Quarantäne-Regel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Planung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DLP aktiv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DLP-Policy aktiviert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Umgesetzt 15.03.2026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Private E-Mail im Mandatsbetrieb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Kanzleirichtlinie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Umgesetzt 22.03.2026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Fehlende Verzeichnistrennung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Namenskonvention + ACL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Umgesetzt 20.03.2026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Plugin-Add-in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Konzept erstellt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Fehlende E-Mail-Archivierung Privatkonto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Policy-Erweiterung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Microsoft 365 Compliance Center — DLP-Dokumentation: learn.microsoft.com</w:t>
      </w:r>
    </w:p>
    <w:p>
      <w:pPr>
        <w:pStyle w:val="ListBullet"/>
      </w:pPr>
      <w:r>
        <w:t>Art. 32 DSGVO — EUR-Lex</w:t>
      </w:r>
    </w:p>
    <w:p/>
    <w:p>
      <w:pPr>
        <w:jc w:val="left"/>
      </w:pPr>
      <w:r>
        <w:t>Bearbeitungsstand: 22.04.2026 — RAin Yvonne Tannenkamp / IT-Beauftragter Kanzlei (NetWork-Recht GmbH)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