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Geschäftsgeheimnisschutz — GeschGehG und mandatliche Drittinformationen</w:t>
      </w:r>
    </w:p>
    <w:p>
      <w:pPr>
        <w:jc w:val="left"/>
      </w:pPr>
      <w:r>
        <w:t>Schutz der Informationen der Mandantschaft und der Gegenseite im Verfahren</w:t>
      </w:r>
    </w:p>
    <w:p/>
    <w:p>
      <w:pPr>
        <w:pStyle w:val="Heading2"/>
      </w:pPr>
      <w:r>
        <w:rPr>
          <w:rFonts w:ascii="Times New Roman" w:hAnsi="Times New Roman"/>
        </w:rPr>
        <w:t>Rechtsgrundlage</w:t>
      </w:r>
    </w:p>
    <w:p>
      <w:pPr>
        <w:jc w:val="left"/>
      </w:pPr>
      <w:r>
        <w:t>Das Gesetz zum Schutz von Geschäftsgeheimnissen (GeschGehG) setzt die EU-Richtlinie 2016/943 (Trade Secrets Directive) in deutsches Recht um.</w:t>
      </w:r>
    </w:p>
    <w:p>
      <w:pPr>
        <w:jc w:val="left"/>
      </w:pPr>
      <w:r>
        <w:t>§ 2 Nr. 1 GeschGehG definiert ein Geschäftsgeheimnis als:</w:t>
      </w:r>
    </w:p>
    <w:p>
      <w:pPr>
        <w:ind w:left="567"/>
      </w:pPr>
      <w:r>
        <w:rPr>
          <w:i/>
        </w:rPr>
        <w:t>eine Information, die a) weder insgesamt noch in der genauen Anordnung und Zusammensetzung ihrer Bestandteile den Personen in den Kreisen, die üblicherweise mit dieser Art von Informationen umgehen, allgemein bekannt oder ohne weiteres zugänglich ist und daher von wirtschaftlichem Wert ist und b) Gegenstand von den Umständen nach angemessenen Geheimhaltungsmaßnahmen durch ihren rechtmäßigen Inhaber ist [...].</w:t>
      </w:r>
    </w:p>
    <w:p>
      <w:pPr>
        <w:jc w:val="left"/>
      </w:pPr>
      <w:r>
        <w:t>Quelle: dejure.org — § 2 GeschGehG</w:t>
      </w:r>
    </w:p>
    <w:p/>
    <w:p>
      <w:pPr>
        <w:pStyle w:val="Heading2"/>
      </w:pPr>
      <w:r>
        <w:rPr>
          <w:rFonts w:ascii="Times New Roman" w:hAnsi="Times New Roman"/>
        </w:rPr>
        <w:t>Relevanz im Mandat Aufhauser-Trenkler</w:t>
      </w:r>
    </w:p>
    <w:p>
      <w:pPr>
        <w:pStyle w:val="Heading3"/>
      </w:pPr>
      <w:r>
        <w:rPr>
          <w:rFonts w:ascii="Times New Roman" w:hAnsi="Times New Roman"/>
        </w:rPr>
        <w:t>Informationen der IPR-KG</w:t>
      </w:r>
    </w:p>
    <w:p>
      <w:pPr>
        <w:jc w:val="left"/>
      </w:pPr>
      <w:r>
        <w:t>Die Jahresabschlüsse der Industriepark Rhein-Main Beteiligungs-GmbH &amp; Co. KG (IPR-KG) für 2022 und 2023 sind Gegenstand der mandatlichen Informationserzwingungsklage. Gleichzeitig sind diese Jahresabschlüsse potentiell Geschäftsgeheimnisse der IPR-KG und ihrer Gesellschafter.</w:t>
      </w:r>
    </w:p>
    <w:p>
      <w:pPr>
        <w:jc w:val="left"/>
      </w:pPr>
      <w:r>
        <w:t>Die Gegenseite (RA Quistorf-Schwertmann) hat argumentiert, dass die Herausgabe der Jahresabschlüsse an die Erbengemeinschaft das GeschGehG verletzt, weil die Erbengemeinschaft als potentieller Käufer/Aussteiger Wettbewerber werden könnte.</w:t>
      </w:r>
    </w:p>
    <w:p>
      <w:pPr>
        <w:jc w:val="left"/>
      </w:pPr>
      <w:r>
        <w:rPr>
          <w:b/>
        </w:rPr>
        <w:t>Rechtliche Bewertung:</w:t>
      </w:r>
      <w:r>
        <w:t xml:space="preserve"> Dieses Argument ist schwach. Das Informationsrecht nach § 166 HGB ist gegenüber dem GeschGehG vorrangig, solange die Erbengemeinschaft Gesellschafterin ist. Der BGH hat mehrfach klargestellt, dass gesellschaftsrechtliche Informationsrechte nicht durch Berufung auf Geschäftsgeheimnisse unterlaufen werden können (BGH, NJW 2012, 1065).</w:t>
      </w:r>
    </w:p>
    <w:p>
      <w:pPr>
        <w:pStyle w:val="Heading3"/>
      </w:pPr>
      <w:r>
        <w:rPr>
          <w:rFonts w:ascii="Times New Roman" w:hAnsi="Times New Roman"/>
        </w:rPr>
        <w:t>Informationen der Kanzlei selbst</w:t>
      </w:r>
    </w:p>
    <w:p>
      <w:pPr>
        <w:jc w:val="left"/>
      </w:pPr>
      <w:r>
        <w:t>In der Datenpanne vom 08.03.2026 wurde die private Adresse von RAin Tannenkamp offenbart — kein Geschäftsgeheimnis im technischen Sinne, aber eine schutzbedürftige Information. Das GeschGehG ist hier nicht direkt anwendbar; stattdessen greift die DSGVO (vgl. Aktenstücke 10–12).</w:t>
      </w:r>
    </w:p>
    <w:p>
      <w:pPr>
        <w:pStyle w:val="Heading3"/>
      </w:pPr>
      <w:r>
        <w:rPr>
          <w:rFonts w:ascii="Times New Roman" w:hAnsi="Times New Roman"/>
        </w:rPr>
        <w:t>E-Mail-Inhalte als vertrauliche Informationen</w:t>
      </w:r>
    </w:p>
    <w:p>
      <w:pPr>
        <w:jc w:val="left"/>
      </w:pPr>
      <w:r>
        <w:t>Die kollegiale Korrespondenz zwischen RA Dr. Kröll und RA Quistorf-Schwertmann — insbesondere die E-Mail vom 14.02.2026 — enthält Informationen über die Verhandlungsstrategie der Erbengemeinschaft. Diese Informationen könnten, wenn sie der Gegenseite vollständig bekannt sind, die Verhandlungsposition der Mandantschaft schwächen.</w:t>
      </w:r>
    </w:p>
    <w:p>
      <w:pPr>
        <w:jc w:val="left"/>
      </w:pPr>
      <w:r>
        <w:t>Die Tatsache, dass Markus Trenkler Kenntnis von der E-Mail erlangt hat, deutet auf eine Informationsweitergabe durch RA Quistorf-Schwertmann oder seine Kanzlei an die Mandanten der Gegenseite hin. Dies könnte seinerseits berufsrechtliche Fragen aufwerfen (§ 43a Abs. 2 BRAO — Verschwiegenheit der Gegenseite ist hier berührt, wenngleich sie zu ihren eigenen Mandanten kommunizieren darf).</w:t>
      </w:r>
    </w:p>
    <w:p/>
    <w:p>
      <w:pPr>
        <w:pStyle w:val="Heading2"/>
      </w:pPr>
      <w:r>
        <w:rPr>
          <w:rFonts w:ascii="Times New Roman" w:hAnsi="Times New Roman"/>
        </w:rPr>
        <w:t>Schutzmaßnahmen der Kanzlei</w:t>
      </w:r>
    </w:p>
    <w:p>
      <w:pPr>
        <w:jc w:val="left"/>
      </w:pPr>
      <w:r>
        <w:t>Nach dem GeschGehG müssen Geschäftsgeheimnisse durch „angemessene Geheimhaltungsmaßnahmen" gesichert sein. Für die Kanzleikorrespondenz bedeutet dies:</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Maßnahme</w:t>
            </w:r>
          </w:p>
        </w:tc>
        <w:tc>
          <w:tcPr>
            <w:tcW w:type="dxa" w:w="4536"/>
          </w:tcPr>
          <w:p>
            <w:r>
              <w:rPr>
                <w:rFonts w:ascii="Times New Roman" w:hAnsi="Times New Roman"/>
                <w:b/>
                <w:sz w:val="20"/>
              </w:rPr>
              <w:t>Status</w:t>
            </w:r>
          </w:p>
        </w:tc>
      </w:tr>
      <w:tr>
        <w:tc>
          <w:tcPr>
            <w:tcW w:type="dxa" w:w="4536"/>
          </w:tcPr>
          <w:p>
            <w:r>
              <w:rPr>
                <w:rFonts w:ascii="Times New Roman" w:hAnsi="Times New Roman"/>
                <w:sz w:val="20"/>
              </w:rPr>
              <w:t>Passwortschutz für Mandatsunterlagen im Kanzleisystem</w:t>
            </w:r>
          </w:p>
        </w:tc>
        <w:tc>
          <w:tcPr>
            <w:tcW w:type="dxa" w:w="4536"/>
          </w:tcPr>
          <w:p>
            <w:r>
              <w:rPr>
                <w:rFonts w:ascii="Times New Roman" w:hAnsi="Times New Roman"/>
                <w:sz w:val="20"/>
              </w:rPr>
              <w:t>Vorhanden</w:t>
            </w:r>
          </w:p>
        </w:tc>
      </w:tr>
      <w:tr>
        <w:tc>
          <w:tcPr>
            <w:tcW w:type="dxa" w:w="4536"/>
          </w:tcPr>
          <w:p>
            <w:r>
              <w:rPr>
                <w:rFonts w:ascii="Times New Roman" w:hAnsi="Times New Roman"/>
                <w:sz w:val="20"/>
              </w:rPr>
              <w:t>Vertraulichkeitsklauseln in E-Mail-Signaturen</w:t>
            </w:r>
          </w:p>
        </w:tc>
        <w:tc>
          <w:tcPr>
            <w:tcW w:type="dxa" w:w="4536"/>
          </w:tcPr>
          <w:p>
            <w:r>
              <w:rPr>
                <w:rFonts w:ascii="Times New Roman" w:hAnsi="Times New Roman"/>
                <w:sz w:val="20"/>
              </w:rPr>
              <w:t>Vorhanden</w:t>
            </w:r>
          </w:p>
        </w:tc>
      </w:tr>
      <w:tr>
        <w:tc>
          <w:tcPr>
            <w:tcW w:type="dxa" w:w="4536"/>
          </w:tcPr>
          <w:p>
            <w:r>
              <w:rPr>
                <w:rFonts w:ascii="Times New Roman" w:hAnsi="Times New Roman"/>
                <w:sz w:val="20"/>
              </w:rPr>
              <w:t>Zugriffsbeschränkungen auf Mandatsordner</w:t>
            </w:r>
          </w:p>
        </w:tc>
        <w:tc>
          <w:tcPr>
            <w:tcW w:type="dxa" w:w="4536"/>
          </w:tcPr>
          <w:p>
            <w:r>
              <w:rPr>
                <w:rFonts w:ascii="Times New Roman" w:hAnsi="Times New Roman"/>
                <w:sz w:val="20"/>
              </w:rPr>
              <w:t>Partiell — verbessert nach Audit</w:t>
            </w:r>
          </w:p>
        </w:tc>
      </w:tr>
      <w:tr>
        <w:tc>
          <w:tcPr>
            <w:tcW w:type="dxa" w:w="4536"/>
          </w:tcPr>
          <w:p>
            <w:r>
              <w:rPr>
                <w:rFonts w:ascii="Times New Roman" w:hAnsi="Times New Roman"/>
                <w:sz w:val="20"/>
              </w:rPr>
              <w:t>Schulung Mitarbeiter zu Vertraulichkeit</w:t>
            </w:r>
          </w:p>
        </w:tc>
        <w:tc>
          <w:tcPr>
            <w:tcW w:type="dxa" w:w="4536"/>
          </w:tcPr>
          <w:p>
            <w:r>
              <w:rPr>
                <w:rFonts w:ascii="Times New Roman" w:hAnsi="Times New Roman"/>
                <w:sz w:val="20"/>
              </w:rPr>
              <w:t>Fehlte bisher — vgl. Aktenstück 20</w:t>
            </w:r>
          </w:p>
        </w:tc>
      </w:tr>
      <w:tr>
        <w:tc>
          <w:tcPr>
            <w:tcW w:type="dxa" w:w="4536"/>
          </w:tcPr>
          <w:p>
            <w:r>
              <w:rPr>
                <w:rFonts w:ascii="Times New Roman" w:hAnsi="Times New Roman"/>
                <w:sz w:val="20"/>
              </w:rPr>
              <w:t>Verhinderung von E-Mail-Leak durch DLP</w:t>
            </w:r>
          </w:p>
        </w:tc>
        <w:tc>
          <w:tcPr>
            <w:tcW w:type="dxa" w:w="4536"/>
          </w:tcPr>
          <w:p>
            <w:r>
              <w:rPr>
                <w:rFonts w:ascii="Times New Roman" w:hAnsi="Times New Roman"/>
                <w:sz w:val="20"/>
              </w:rPr>
              <w:t>Jetzt vorhanden (seit 15.03.2026)</w:t>
            </w:r>
          </w:p>
        </w:tc>
      </w:tr>
    </w:tbl>
    <w:p/>
    <w:p>
      <w:pPr>
        <w:pStyle w:val="Heading2"/>
      </w:pPr>
      <w:r>
        <w:rPr>
          <w:rFonts w:ascii="Times New Roman" w:hAnsi="Times New Roman"/>
        </w:rPr>
        <w:t>Quellen</w:t>
      </w:r>
    </w:p>
    <w:p>
      <w:pPr>
        <w:pStyle w:val="ListBullet"/>
      </w:pPr>
      <w:r>
        <w:t>§ 2 GeschGehG — dejure.org</w:t>
      </w:r>
    </w:p>
    <w:p>
      <w:pPr>
        <w:pStyle w:val="ListBullet"/>
      </w:pPr>
      <w:r>
        <w:t>§ 166 HGB — dejure.org</w:t>
      </w:r>
    </w:p>
    <w:p>
      <w:pPr>
        <w:pStyle w:val="ListBullet"/>
      </w:pPr>
      <w:r>
        <w:t>BGH, NJW 2012, 1065 — openjur.de</w:t>
      </w:r>
    </w:p>
    <w:p>
      <w:pPr>
        <w:pStyle w:val="ListBullet"/>
      </w:pPr>
      <w:r>
        <w:t>EU-Richtlinie 2016/943 — EUR-Lex</w:t>
      </w:r>
    </w:p>
    <w:p/>
    <w:p>
      <w:pPr>
        <w:jc w:val="left"/>
      </w:pPr>
      <w:r>
        <w:t>Bearbeitungsstand: 22.04.2026 — RAin Yvonne Tannenkamp</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